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40" w:rsidRPr="008F1BC4" w:rsidRDefault="00661240" w:rsidP="000A1E9D">
      <w:pPr>
        <w:spacing w:line="560" w:lineRule="exact"/>
        <w:jc w:val="center"/>
        <w:rPr>
          <w:rFonts w:ascii="黑体" w:eastAsia="黑体" w:hAnsi="Times New Roman" w:cs="宋体"/>
          <w:sz w:val="32"/>
          <w:szCs w:val="32"/>
        </w:rPr>
      </w:pPr>
      <w:r w:rsidRPr="008F1BC4">
        <w:rPr>
          <w:rFonts w:ascii="黑体" w:eastAsia="黑体" w:hAnsi="Times New Roman" w:cs="宋体"/>
          <w:sz w:val="32"/>
          <w:szCs w:val="32"/>
        </w:rPr>
        <w:t>201</w:t>
      </w:r>
      <w:r>
        <w:rPr>
          <w:rFonts w:ascii="黑体" w:eastAsia="黑体" w:hAnsi="Times New Roman" w:cs="宋体"/>
          <w:sz w:val="32"/>
          <w:szCs w:val="32"/>
        </w:rPr>
        <w:t>5</w:t>
      </w:r>
      <w:r w:rsidRPr="008F1BC4">
        <w:rPr>
          <w:rFonts w:ascii="黑体" w:eastAsia="黑体" w:hAnsi="Times New Roman" w:cs="宋体" w:hint="eastAsia"/>
          <w:sz w:val="32"/>
          <w:szCs w:val="32"/>
        </w:rPr>
        <w:t>年度全国燃煤污染型地方性砷中毒监测报告（摘要）</w:t>
      </w:r>
    </w:p>
    <w:p w:rsidR="00661240" w:rsidRPr="000A1E9D" w:rsidRDefault="00661240">
      <w:pPr>
        <w:rPr>
          <w:sz w:val="32"/>
          <w:szCs w:val="32"/>
        </w:rPr>
      </w:pP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燃煤污染型地方性砷中毒分布在我国贵州和陕西</w:t>
      </w:r>
      <w:r>
        <w:rPr>
          <w:rFonts w:ascii="宋体" w:hAnsi="宋体" w:hint="eastAsia"/>
          <w:bCs/>
          <w:sz w:val="24"/>
          <w:szCs w:val="24"/>
        </w:rPr>
        <w:t>两</w:t>
      </w:r>
      <w:r w:rsidRPr="007F0FAD">
        <w:rPr>
          <w:rFonts w:ascii="宋体" w:hAnsi="宋体" w:hint="eastAsia"/>
          <w:bCs/>
          <w:sz w:val="24"/>
          <w:szCs w:val="24"/>
        </w:rPr>
        <w:t>省。</w:t>
      </w:r>
      <w:r w:rsidRPr="007F0FAD">
        <w:rPr>
          <w:rFonts w:ascii="宋体" w:hAnsi="宋体"/>
          <w:bCs/>
          <w:sz w:val="24"/>
          <w:szCs w:val="24"/>
        </w:rPr>
        <w:t>201</w:t>
      </w:r>
      <w:r>
        <w:rPr>
          <w:rFonts w:ascii="宋体" w:hAnsi="宋体"/>
          <w:bCs/>
          <w:sz w:val="24"/>
          <w:szCs w:val="24"/>
        </w:rPr>
        <w:t>5</w:t>
      </w:r>
      <w:r w:rsidRPr="007F0FAD"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/>
          <w:bCs/>
          <w:sz w:val="24"/>
          <w:szCs w:val="24"/>
        </w:rPr>
        <w:t>11</w:t>
      </w:r>
      <w:r>
        <w:rPr>
          <w:rFonts w:ascii="宋体" w:hAnsi="宋体" w:hint="eastAsia"/>
          <w:bCs/>
          <w:sz w:val="24"/>
          <w:szCs w:val="24"/>
        </w:rPr>
        <w:t>月</w:t>
      </w:r>
      <w:r w:rsidRPr="007F0FAD">
        <w:rPr>
          <w:rFonts w:ascii="宋体" w:hAnsi="宋体" w:hint="eastAsia"/>
          <w:bCs/>
          <w:sz w:val="24"/>
          <w:szCs w:val="24"/>
        </w:rPr>
        <w:t>至</w:t>
      </w:r>
      <w:r w:rsidRPr="007F0FAD">
        <w:rPr>
          <w:rFonts w:ascii="宋体" w:hAnsi="宋体"/>
          <w:bCs/>
          <w:sz w:val="24"/>
          <w:szCs w:val="24"/>
        </w:rPr>
        <w:t>201</w:t>
      </w:r>
      <w:r>
        <w:rPr>
          <w:rFonts w:ascii="宋体" w:hAnsi="宋体"/>
          <w:bCs/>
          <w:sz w:val="24"/>
          <w:szCs w:val="24"/>
        </w:rPr>
        <w:t>6</w:t>
      </w:r>
      <w:r w:rsidRPr="007F0FAD"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/>
          <w:bCs/>
          <w:sz w:val="24"/>
          <w:szCs w:val="24"/>
        </w:rPr>
        <w:t>3</w:t>
      </w:r>
      <w:r w:rsidRPr="007F0FAD">
        <w:rPr>
          <w:rFonts w:ascii="宋体" w:hAnsi="宋体" w:hint="eastAsia"/>
          <w:bCs/>
          <w:sz w:val="24"/>
          <w:szCs w:val="24"/>
        </w:rPr>
        <w:t>月，两省按照《</w:t>
      </w:r>
      <w:r w:rsidRPr="007F0FAD">
        <w:rPr>
          <w:rFonts w:ascii="宋体" w:hAnsi="宋体" w:hint="eastAsia"/>
          <w:sz w:val="24"/>
          <w:szCs w:val="24"/>
        </w:rPr>
        <w:t>燃煤污染型地方性砷中毒监测方案</w:t>
      </w:r>
      <w:r w:rsidRPr="007F0FAD">
        <w:rPr>
          <w:rFonts w:ascii="宋体" w:hAnsi="宋体" w:hint="eastAsia"/>
          <w:bCs/>
          <w:sz w:val="24"/>
          <w:szCs w:val="24"/>
        </w:rPr>
        <w:t>》（中疾控地病发〔</w:t>
      </w:r>
      <w:r w:rsidRPr="007F0FAD">
        <w:rPr>
          <w:rFonts w:ascii="宋体" w:hAnsi="宋体"/>
          <w:bCs/>
          <w:sz w:val="24"/>
          <w:szCs w:val="24"/>
        </w:rPr>
        <w:t>2012</w:t>
      </w:r>
      <w:r w:rsidRPr="007F0FAD">
        <w:rPr>
          <w:rFonts w:ascii="宋体" w:hAnsi="宋体" w:hint="eastAsia"/>
          <w:bCs/>
          <w:sz w:val="24"/>
          <w:szCs w:val="24"/>
        </w:rPr>
        <w:t>〕</w:t>
      </w:r>
      <w:r w:rsidRPr="007F0FAD">
        <w:rPr>
          <w:rFonts w:ascii="宋体" w:hAnsi="宋体"/>
          <w:bCs/>
          <w:sz w:val="24"/>
          <w:szCs w:val="24"/>
        </w:rPr>
        <w:t>6</w:t>
      </w:r>
      <w:r w:rsidRPr="007F0FAD">
        <w:rPr>
          <w:rFonts w:ascii="宋体" w:hAnsi="宋体" w:hint="eastAsia"/>
          <w:bCs/>
          <w:sz w:val="24"/>
          <w:szCs w:val="24"/>
        </w:rPr>
        <w:t>号），组织开展了</w:t>
      </w:r>
      <w:r w:rsidRPr="007F0FAD">
        <w:rPr>
          <w:rFonts w:ascii="宋体" w:hAnsi="宋体"/>
          <w:bCs/>
          <w:sz w:val="24"/>
          <w:szCs w:val="24"/>
        </w:rPr>
        <w:t>201</w:t>
      </w:r>
      <w:r>
        <w:rPr>
          <w:rFonts w:ascii="宋体" w:hAnsi="宋体"/>
          <w:bCs/>
          <w:sz w:val="24"/>
          <w:szCs w:val="24"/>
        </w:rPr>
        <w:t>5</w:t>
      </w:r>
      <w:r w:rsidRPr="007F0FAD">
        <w:rPr>
          <w:rFonts w:ascii="宋体" w:hAnsi="宋体" w:hint="eastAsia"/>
          <w:bCs/>
          <w:sz w:val="24"/>
          <w:szCs w:val="24"/>
        </w:rPr>
        <w:t>年度</w:t>
      </w:r>
      <w:r>
        <w:rPr>
          <w:rFonts w:ascii="宋体" w:hAnsi="宋体" w:hint="eastAsia"/>
          <w:bCs/>
          <w:sz w:val="24"/>
          <w:szCs w:val="24"/>
        </w:rPr>
        <w:t>的</w:t>
      </w:r>
      <w:r w:rsidRPr="007F0FAD">
        <w:rPr>
          <w:rFonts w:ascii="宋体" w:hAnsi="宋体" w:hint="eastAsia"/>
          <w:bCs/>
          <w:sz w:val="24"/>
          <w:szCs w:val="24"/>
        </w:rPr>
        <w:t>监测工作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661240" w:rsidRPr="005563D2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一、监测范围、内容与方法</w:t>
      </w:r>
    </w:p>
    <w:p w:rsidR="00661240" w:rsidRPr="005563D2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outlineLvl w:val="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（一）监测范围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hAns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贵州省兴仁县四家村、青底村，安龙县石丫口村、海子村，陕西省紫阳县电光村、双星村，镇巴县杨庄村、田坝村。</w:t>
      </w:r>
      <w:r w:rsidRPr="00F03CDD">
        <w:rPr>
          <w:rFonts w:hAnsi="宋体" w:hint="eastAsia"/>
          <w:bCs/>
          <w:sz w:val="24"/>
          <w:szCs w:val="24"/>
        </w:rPr>
        <w:t>调查病区县高砷煤矿管理情况、病区村居民炉灶使用及相关健康生活行为形成情况，调查高砷暴露人群砷中毒病情和尿砷水平。</w:t>
      </w:r>
    </w:p>
    <w:p w:rsidR="00661240" w:rsidRPr="00F03CDD" w:rsidRDefault="00661240" w:rsidP="00AB3591">
      <w:pPr>
        <w:adjustRightInd w:val="0"/>
        <w:snapToGrid w:val="0"/>
        <w:spacing w:after="120" w:line="360" w:lineRule="auto"/>
        <w:ind w:firstLineChars="202" w:firstLine="31680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F03CDD">
        <w:rPr>
          <w:rFonts w:ascii="Times New Roman" w:hAnsi="宋体" w:hint="eastAsia"/>
          <w:b/>
          <w:bCs/>
          <w:kern w:val="0"/>
          <w:sz w:val="24"/>
          <w:szCs w:val="24"/>
        </w:rPr>
        <w:t>二、监测结果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（一）高砷煤矿管理情况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本年度两个省份共监测</w:t>
      </w:r>
      <w:r w:rsidRPr="007F0FAD">
        <w:rPr>
          <w:rFonts w:ascii="宋体" w:hAnsi="宋体"/>
          <w:bCs/>
          <w:sz w:val="24"/>
          <w:szCs w:val="24"/>
        </w:rPr>
        <w:t>19</w:t>
      </w:r>
      <w:r w:rsidRPr="007F0FAD">
        <w:rPr>
          <w:rFonts w:ascii="宋体" w:hAnsi="宋体" w:hint="eastAsia"/>
          <w:bCs/>
          <w:sz w:val="24"/>
          <w:szCs w:val="24"/>
        </w:rPr>
        <w:t>个高砷煤矿，均已关闭。</w:t>
      </w:r>
      <w:r>
        <w:rPr>
          <w:rFonts w:ascii="宋体" w:hAnsi="宋体"/>
          <w:bCs/>
          <w:sz w:val="24"/>
          <w:szCs w:val="24"/>
        </w:rPr>
        <w:t xml:space="preserve"> </w:t>
      </w:r>
    </w:p>
    <w:p w:rsidR="00661240" w:rsidRPr="005563D2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（二）炉灶使用及相关健康生活行为形成情况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本年度在</w:t>
      </w:r>
      <w:r w:rsidRPr="007F0FAD">
        <w:rPr>
          <w:rFonts w:ascii="宋体" w:hAnsi="宋体"/>
          <w:bCs/>
          <w:sz w:val="24"/>
          <w:szCs w:val="24"/>
        </w:rPr>
        <w:t>8</w:t>
      </w:r>
      <w:r w:rsidRPr="007F0FAD">
        <w:rPr>
          <w:rFonts w:ascii="宋体" w:hAnsi="宋体" w:hint="eastAsia"/>
          <w:bCs/>
          <w:sz w:val="24"/>
          <w:szCs w:val="24"/>
        </w:rPr>
        <w:t>个行政村共监测了</w:t>
      </w:r>
      <w:r w:rsidRPr="007F0FAD">
        <w:rPr>
          <w:rFonts w:ascii="宋体" w:hAnsi="宋体"/>
          <w:bCs/>
          <w:sz w:val="24"/>
          <w:szCs w:val="24"/>
        </w:rPr>
        <w:t>80</w:t>
      </w:r>
      <w:r w:rsidRPr="007F0FAD">
        <w:rPr>
          <w:rFonts w:ascii="宋体" w:hAnsi="宋体" w:hint="eastAsia"/>
          <w:bCs/>
          <w:sz w:val="24"/>
          <w:szCs w:val="24"/>
        </w:rPr>
        <w:t>户改良炉灶家庭，使用改良铁炉</w:t>
      </w:r>
      <w:r>
        <w:rPr>
          <w:rFonts w:ascii="宋体" w:hAnsi="宋体"/>
          <w:bCs/>
          <w:sz w:val="24"/>
          <w:szCs w:val="24"/>
        </w:rPr>
        <w:t>55</w:t>
      </w:r>
      <w:r w:rsidRPr="007F0FAD">
        <w:rPr>
          <w:rFonts w:ascii="宋体" w:hAnsi="宋体" w:hint="eastAsia"/>
          <w:bCs/>
          <w:sz w:val="24"/>
          <w:szCs w:val="24"/>
        </w:rPr>
        <w:t>户，占</w:t>
      </w:r>
      <w:r>
        <w:rPr>
          <w:rFonts w:ascii="宋体" w:hAnsi="宋体"/>
          <w:bCs/>
          <w:sz w:val="24"/>
          <w:szCs w:val="24"/>
        </w:rPr>
        <w:t>68.75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；使用电热器</w:t>
      </w:r>
      <w:r>
        <w:rPr>
          <w:rFonts w:ascii="宋体" w:hAnsi="宋体"/>
          <w:bCs/>
          <w:sz w:val="24"/>
          <w:szCs w:val="24"/>
        </w:rPr>
        <w:t>59</w:t>
      </w:r>
      <w:r w:rsidRPr="007F0FAD">
        <w:rPr>
          <w:rFonts w:ascii="宋体" w:hAnsi="宋体" w:hint="eastAsia"/>
          <w:bCs/>
          <w:sz w:val="24"/>
          <w:szCs w:val="24"/>
        </w:rPr>
        <w:t>户，占</w:t>
      </w:r>
      <w:r>
        <w:rPr>
          <w:rFonts w:ascii="宋体" w:hAnsi="宋体"/>
          <w:bCs/>
          <w:sz w:val="24"/>
          <w:szCs w:val="24"/>
        </w:rPr>
        <w:t>73.75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；使用敞炉</w:t>
      </w:r>
      <w:r>
        <w:rPr>
          <w:rFonts w:ascii="宋体" w:hAnsi="宋体"/>
          <w:bCs/>
          <w:sz w:val="24"/>
          <w:szCs w:val="24"/>
        </w:rPr>
        <w:t>10</w:t>
      </w:r>
      <w:r w:rsidRPr="007F0FAD">
        <w:rPr>
          <w:rFonts w:ascii="宋体" w:hAnsi="宋体" w:hint="eastAsia"/>
          <w:bCs/>
          <w:sz w:val="24"/>
          <w:szCs w:val="24"/>
        </w:rPr>
        <w:t>户</w:t>
      </w:r>
      <w:r>
        <w:rPr>
          <w:rFonts w:ascii="宋体"/>
          <w:bCs/>
          <w:sz w:val="24"/>
          <w:szCs w:val="24"/>
        </w:rPr>
        <w:t>,</w:t>
      </w:r>
      <w:r w:rsidRPr="007F0FAD">
        <w:rPr>
          <w:rFonts w:ascii="宋体" w:hAnsi="宋体" w:hint="eastAsia"/>
          <w:bCs/>
          <w:sz w:val="24"/>
          <w:szCs w:val="24"/>
        </w:rPr>
        <w:t>占</w:t>
      </w:r>
      <w:r w:rsidRPr="007F0FAD">
        <w:rPr>
          <w:rFonts w:ascii="宋体" w:hAnsi="宋体"/>
          <w:bCs/>
          <w:sz w:val="24"/>
          <w:szCs w:val="24"/>
        </w:rPr>
        <w:t>12.5</w:t>
      </w:r>
      <w:r>
        <w:rPr>
          <w:rFonts w:ascii="宋体"/>
          <w:bCs/>
          <w:sz w:val="24"/>
          <w:szCs w:val="24"/>
        </w:rPr>
        <w:t>0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；使用改良煤灶</w:t>
      </w:r>
      <w:r>
        <w:rPr>
          <w:rFonts w:ascii="宋体" w:hAnsi="宋体"/>
          <w:bCs/>
          <w:sz w:val="24"/>
          <w:szCs w:val="24"/>
        </w:rPr>
        <w:t>26</w:t>
      </w:r>
      <w:r w:rsidRPr="007F0FAD">
        <w:rPr>
          <w:rFonts w:ascii="宋体" w:hAnsi="宋体" w:hint="eastAsia"/>
          <w:bCs/>
          <w:sz w:val="24"/>
          <w:szCs w:val="24"/>
        </w:rPr>
        <w:t>户，占</w:t>
      </w:r>
      <w:r>
        <w:rPr>
          <w:rFonts w:ascii="宋体" w:hAnsi="宋体"/>
          <w:bCs/>
          <w:sz w:val="24"/>
          <w:szCs w:val="24"/>
        </w:rPr>
        <w:t>32.50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；使用电炊具等其他灶具</w:t>
      </w:r>
      <w:r>
        <w:rPr>
          <w:rFonts w:ascii="宋体" w:hAnsi="宋体"/>
          <w:bCs/>
          <w:sz w:val="24"/>
          <w:szCs w:val="24"/>
        </w:rPr>
        <w:t>68</w:t>
      </w:r>
      <w:r w:rsidRPr="007F0FAD">
        <w:rPr>
          <w:rFonts w:ascii="宋体" w:hAnsi="宋体" w:hint="eastAsia"/>
          <w:bCs/>
          <w:sz w:val="24"/>
          <w:szCs w:val="24"/>
        </w:rPr>
        <w:t>户，占</w:t>
      </w:r>
      <w:r>
        <w:rPr>
          <w:rFonts w:ascii="宋体" w:hAnsi="宋体"/>
          <w:bCs/>
          <w:sz w:val="24"/>
          <w:szCs w:val="24"/>
        </w:rPr>
        <w:t>85</w:t>
      </w:r>
      <w:r w:rsidRPr="007F0FAD">
        <w:rPr>
          <w:rFonts w:ascii="宋体" w:hAnsi="宋体"/>
          <w:bCs/>
          <w:sz w:val="24"/>
          <w:szCs w:val="24"/>
        </w:rPr>
        <w:t>%</w:t>
      </w:r>
      <w:r>
        <w:rPr>
          <w:rFonts w:ascii="宋体" w:hAnsi="宋体" w:hint="eastAsia"/>
          <w:bCs/>
          <w:sz w:val="24"/>
          <w:szCs w:val="24"/>
        </w:rPr>
        <w:t>；</w:t>
      </w:r>
      <w:r w:rsidRPr="007F0FAD">
        <w:rPr>
          <w:rFonts w:ascii="宋体" w:hAnsi="宋体" w:hint="eastAsia"/>
          <w:bCs/>
          <w:sz w:val="24"/>
          <w:szCs w:val="24"/>
        </w:rPr>
        <w:t>使用敞灶</w:t>
      </w:r>
      <w:r w:rsidRPr="007F0FAD">
        <w:rPr>
          <w:rFonts w:ascii="宋体"/>
          <w:bCs/>
          <w:sz w:val="24"/>
          <w:szCs w:val="24"/>
        </w:rPr>
        <w:t>0</w:t>
      </w:r>
      <w:r w:rsidRPr="007F0FAD">
        <w:rPr>
          <w:rFonts w:ascii="宋体" w:hAnsi="宋体" w:hint="eastAsia"/>
          <w:bCs/>
          <w:sz w:val="24"/>
          <w:szCs w:val="24"/>
        </w:rPr>
        <w:t>户。</w:t>
      </w:r>
    </w:p>
    <w:p w:rsidR="00661240" w:rsidRPr="007F0FAD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在使用改良铁炉的</w:t>
      </w:r>
      <w:r>
        <w:rPr>
          <w:rFonts w:ascii="宋体" w:hAnsi="宋体"/>
          <w:bCs/>
          <w:sz w:val="24"/>
          <w:szCs w:val="24"/>
        </w:rPr>
        <w:t>55</w:t>
      </w:r>
      <w:r>
        <w:rPr>
          <w:rFonts w:ascii="宋体" w:hAnsi="宋体" w:hint="eastAsia"/>
          <w:bCs/>
          <w:sz w:val="24"/>
          <w:szCs w:val="24"/>
        </w:rPr>
        <w:t>户</w:t>
      </w:r>
      <w:r w:rsidRPr="007F0FAD">
        <w:rPr>
          <w:rFonts w:ascii="宋体" w:hAnsi="宋体" w:hint="eastAsia"/>
          <w:bCs/>
          <w:sz w:val="24"/>
          <w:szCs w:val="24"/>
        </w:rPr>
        <w:t>中，质量合格</w:t>
      </w:r>
      <w:r>
        <w:rPr>
          <w:rFonts w:ascii="宋体" w:hAnsi="宋体"/>
          <w:bCs/>
          <w:sz w:val="24"/>
          <w:szCs w:val="24"/>
        </w:rPr>
        <w:t>45</w:t>
      </w:r>
      <w:r w:rsidRPr="007F0FAD">
        <w:rPr>
          <w:rFonts w:ascii="宋体" w:hAnsi="宋体" w:hint="eastAsia"/>
          <w:bCs/>
          <w:sz w:val="24"/>
          <w:szCs w:val="24"/>
        </w:rPr>
        <w:t>户，合格率为</w:t>
      </w:r>
      <w:r>
        <w:rPr>
          <w:rFonts w:ascii="宋体" w:hAnsi="宋体"/>
          <w:bCs/>
          <w:sz w:val="24"/>
          <w:szCs w:val="24"/>
        </w:rPr>
        <w:t>81.82</w:t>
      </w:r>
      <w:r w:rsidRPr="007F0FAD">
        <w:rPr>
          <w:rFonts w:ascii="宋体" w:hAnsi="宋体"/>
          <w:bCs/>
          <w:sz w:val="24"/>
          <w:szCs w:val="24"/>
        </w:rPr>
        <w:t>%</w:t>
      </w:r>
      <w:r>
        <w:rPr>
          <w:rFonts w:ascii="宋体" w:hAnsi="宋体" w:hint="eastAsia"/>
          <w:bCs/>
          <w:sz w:val="24"/>
          <w:szCs w:val="24"/>
        </w:rPr>
        <w:t>；</w:t>
      </w:r>
      <w:r w:rsidRPr="007F0FAD">
        <w:rPr>
          <w:rFonts w:ascii="宋体" w:hAnsi="宋体" w:hint="eastAsia"/>
          <w:bCs/>
          <w:sz w:val="24"/>
          <w:szCs w:val="24"/>
        </w:rPr>
        <w:t>质量合格且正确使用</w:t>
      </w:r>
      <w:r>
        <w:rPr>
          <w:rFonts w:ascii="宋体" w:hAnsi="宋体"/>
          <w:bCs/>
          <w:sz w:val="24"/>
          <w:szCs w:val="24"/>
        </w:rPr>
        <w:t>45</w:t>
      </w:r>
      <w:r w:rsidRPr="007F0FAD">
        <w:rPr>
          <w:rFonts w:ascii="宋体" w:hAnsi="宋体" w:hint="eastAsia"/>
          <w:bCs/>
          <w:sz w:val="24"/>
          <w:szCs w:val="24"/>
        </w:rPr>
        <w:t>户，合格改良</w:t>
      </w:r>
      <w:r>
        <w:rPr>
          <w:rFonts w:ascii="宋体" w:hAnsi="宋体" w:hint="eastAsia"/>
          <w:bCs/>
          <w:sz w:val="24"/>
          <w:szCs w:val="24"/>
        </w:rPr>
        <w:t>铁</w:t>
      </w:r>
      <w:r w:rsidRPr="007F0FAD">
        <w:rPr>
          <w:rFonts w:ascii="宋体" w:hAnsi="宋体" w:hint="eastAsia"/>
          <w:bCs/>
          <w:sz w:val="24"/>
          <w:szCs w:val="24"/>
        </w:rPr>
        <w:t>炉的正确使用率为</w:t>
      </w:r>
      <w:r w:rsidRPr="007F0FAD">
        <w:rPr>
          <w:rFonts w:ascii="宋体" w:hAnsi="宋体"/>
          <w:bCs/>
          <w:sz w:val="24"/>
          <w:szCs w:val="24"/>
        </w:rPr>
        <w:t>100%</w:t>
      </w:r>
      <w:r w:rsidRPr="007F0FAD">
        <w:rPr>
          <w:rFonts w:ascii="宋体" w:hAnsi="宋体" w:hint="eastAsia"/>
          <w:bCs/>
          <w:sz w:val="24"/>
          <w:szCs w:val="24"/>
        </w:rPr>
        <w:t>。使用改良</w:t>
      </w:r>
      <w:r>
        <w:rPr>
          <w:rFonts w:ascii="宋体" w:hAnsi="宋体" w:hint="eastAsia"/>
          <w:bCs/>
          <w:sz w:val="24"/>
          <w:szCs w:val="24"/>
        </w:rPr>
        <w:t>煤</w:t>
      </w:r>
      <w:r w:rsidRPr="007F0FAD">
        <w:rPr>
          <w:rFonts w:ascii="宋体" w:hAnsi="宋体" w:hint="eastAsia"/>
          <w:bCs/>
          <w:sz w:val="24"/>
          <w:szCs w:val="24"/>
        </w:rPr>
        <w:t>灶的</w:t>
      </w:r>
      <w:r>
        <w:rPr>
          <w:rFonts w:ascii="宋体" w:hAnsi="宋体"/>
          <w:bCs/>
          <w:sz w:val="24"/>
          <w:szCs w:val="24"/>
        </w:rPr>
        <w:t>26</w:t>
      </w:r>
      <w:r w:rsidRPr="007F0FAD">
        <w:rPr>
          <w:rFonts w:ascii="宋体" w:hAnsi="宋体" w:hint="eastAsia"/>
          <w:bCs/>
          <w:sz w:val="24"/>
          <w:szCs w:val="24"/>
        </w:rPr>
        <w:t>户中，改良</w:t>
      </w:r>
      <w:r>
        <w:rPr>
          <w:rFonts w:ascii="宋体" w:hAnsi="宋体" w:hint="eastAsia"/>
          <w:bCs/>
          <w:sz w:val="24"/>
          <w:szCs w:val="24"/>
        </w:rPr>
        <w:t>煤</w:t>
      </w:r>
      <w:r w:rsidRPr="007F0FAD">
        <w:rPr>
          <w:rFonts w:ascii="宋体" w:hAnsi="宋体" w:hint="eastAsia"/>
          <w:bCs/>
          <w:sz w:val="24"/>
          <w:szCs w:val="24"/>
        </w:rPr>
        <w:t>灶质量合格</w:t>
      </w:r>
      <w:r>
        <w:rPr>
          <w:rFonts w:ascii="宋体" w:hAnsi="宋体"/>
          <w:bCs/>
          <w:sz w:val="24"/>
          <w:szCs w:val="24"/>
        </w:rPr>
        <w:t>26</w:t>
      </w:r>
      <w:r w:rsidRPr="007F0FAD">
        <w:rPr>
          <w:rFonts w:ascii="宋体" w:hAnsi="宋体" w:hint="eastAsia"/>
          <w:bCs/>
          <w:sz w:val="24"/>
          <w:szCs w:val="24"/>
        </w:rPr>
        <w:t>户，合格率为</w:t>
      </w:r>
      <w:r>
        <w:rPr>
          <w:rFonts w:ascii="宋体" w:hAnsi="宋体"/>
          <w:bCs/>
          <w:sz w:val="24"/>
          <w:szCs w:val="24"/>
        </w:rPr>
        <w:t>100</w:t>
      </w:r>
      <w:r w:rsidRPr="007F0FAD">
        <w:rPr>
          <w:rFonts w:ascii="宋体" w:hAnsi="宋体"/>
          <w:bCs/>
          <w:sz w:val="24"/>
          <w:szCs w:val="24"/>
        </w:rPr>
        <w:t>%</w:t>
      </w:r>
      <w:r>
        <w:rPr>
          <w:rFonts w:ascii="宋体" w:hAnsi="宋体" w:hint="eastAsia"/>
          <w:bCs/>
          <w:sz w:val="24"/>
          <w:szCs w:val="24"/>
        </w:rPr>
        <w:t>；</w:t>
      </w:r>
      <w:r w:rsidRPr="007F0FAD">
        <w:rPr>
          <w:rFonts w:ascii="宋体" w:hAnsi="宋体" w:hint="eastAsia"/>
          <w:bCs/>
          <w:sz w:val="24"/>
          <w:szCs w:val="24"/>
        </w:rPr>
        <w:t>合格且正确使用的</w:t>
      </w:r>
      <w:r>
        <w:rPr>
          <w:rFonts w:ascii="宋体" w:hAnsi="宋体"/>
          <w:bCs/>
          <w:sz w:val="24"/>
          <w:szCs w:val="24"/>
        </w:rPr>
        <w:t>26</w:t>
      </w:r>
      <w:r w:rsidRPr="007F0FAD">
        <w:rPr>
          <w:rFonts w:ascii="宋体" w:hAnsi="宋体" w:hint="eastAsia"/>
          <w:bCs/>
          <w:sz w:val="24"/>
          <w:szCs w:val="24"/>
        </w:rPr>
        <w:t>户，合格改良</w:t>
      </w:r>
      <w:r>
        <w:rPr>
          <w:rFonts w:ascii="宋体" w:hAnsi="宋体" w:hint="eastAsia"/>
          <w:bCs/>
          <w:sz w:val="24"/>
          <w:szCs w:val="24"/>
        </w:rPr>
        <w:t>煤</w:t>
      </w:r>
      <w:r w:rsidRPr="007F0FAD">
        <w:rPr>
          <w:rFonts w:ascii="宋体" w:hAnsi="宋体" w:hint="eastAsia"/>
          <w:bCs/>
          <w:sz w:val="24"/>
          <w:szCs w:val="24"/>
        </w:rPr>
        <w:t>灶的正确使用率为</w:t>
      </w:r>
      <w:r w:rsidRPr="007F0FAD">
        <w:rPr>
          <w:rFonts w:ascii="宋体" w:hAnsi="宋体"/>
          <w:bCs/>
          <w:sz w:val="24"/>
          <w:szCs w:val="24"/>
        </w:rPr>
        <w:t>100%</w:t>
      </w:r>
      <w:r w:rsidRPr="007F0FAD">
        <w:rPr>
          <w:rFonts w:ascii="宋体" w:hAnsi="宋体" w:hint="eastAsia"/>
          <w:bCs/>
          <w:sz w:val="24"/>
          <w:szCs w:val="24"/>
        </w:rPr>
        <w:t>。</w:t>
      </w:r>
    </w:p>
    <w:p w:rsidR="00661240" w:rsidRPr="007F0FAD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监测户</w:t>
      </w:r>
      <w:r>
        <w:rPr>
          <w:rFonts w:ascii="宋体" w:hAnsi="宋体" w:hint="eastAsia"/>
          <w:bCs/>
          <w:sz w:val="24"/>
          <w:szCs w:val="24"/>
        </w:rPr>
        <w:t>食用</w:t>
      </w:r>
      <w:r w:rsidRPr="007F0FAD">
        <w:rPr>
          <w:rFonts w:ascii="宋体" w:hAnsi="宋体" w:hint="eastAsia"/>
          <w:bCs/>
          <w:sz w:val="24"/>
          <w:szCs w:val="24"/>
        </w:rPr>
        <w:t>玉米</w:t>
      </w:r>
      <w:r>
        <w:rPr>
          <w:rFonts w:ascii="宋体" w:hAnsi="宋体" w:hint="eastAsia"/>
          <w:bCs/>
          <w:sz w:val="24"/>
          <w:szCs w:val="24"/>
        </w:rPr>
        <w:t>和辣椒</w:t>
      </w:r>
      <w:r w:rsidRPr="007F0FAD">
        <w:rPr>
          <w:rFonts w:ascii="宋体" w:hAnsi="宋体" w:hint="eastAsia"/>
          <w:bCs/>
          <w:sz w:val="24"/>
          <w:szCs w:val="24"/>
        </w:rPr>
        <w:t>的</w:t>
      </w:r>
      <w:r>
        <w:rPr>
          <w:rFonts w:ascii="宋体" w:hAnsi="宋体" w:hint="eastAsia"/>
          <w:bCs/>
          <w:sz w:val="24"/>
          <w:szCs w:val="24"/>
        </w:rPr>
        <w:t>正确干燥户数均为</w:t>
      </w:r>
      <w:r>
        <w:rPr>
          <w:rFonts w:ascii="宋体" w:hAnsi="宋体"/>
          <w:bCs/>
          <w:sz w:val="24"/>
          <w:szCs w:val="24"/>
        </w:rPr>
        <w:t>79</w:t>
      </w:r>
      <w:r>
        <w:rPr>
          <w:rFonts w:ascii="宋体" w:hAnsi="宋体" w:hint="eastAsia"/>
          <w:bCs/>
          <w:sz w:val="24"/>
          <w:szCs w:val="24"/>
        </w:rPr>
        <w:t>户，玉米、辣椒</w:t>
      </w:r>
      <w:r w:rsidRPr="007F0FAD">
        <w:rPr>
          <w:rFonts w:ascii="宋体" w:hAnsi="宋体" w:hint="eastAsia"/>
          <w:bCs/>
          <w:sz w:val="24"/>
          <w:szCs w:val="24"/>
        </w:rPr>
        <w:t>正确保管户数</w:t>
      </w:r>
      <w:r>
        <w:rPr>
          <w:rFonts w:ascii="宋体" w:hAnsi="宋体" w:hint="eastAsia"/>
          <w:bCs/>
          <w:sz w:val="24"/>
          <w:szCs w:val="24"/>
        </w:rPr>
        <w:t>分别为</w:t>
      </w:r>
      <w:r>
        <w:rPr>
          <w:rFonts w:ascii="宋体" w:hAnsi="宋体"/>
          <w:bCs/>
          <w:sz w:val="24"/>
          <w:szCs w:val="24"/>
        </w:rPr>
        <w:t>79</w:t>
      </w:r>
      <w:r>
        <w:rPr>
          <w:rFonts w:ascii="宋体" w:hAnsi="宋体" w:hint="eastAsia"/>
          <w:bCs/>
          <w:sz w:val="24"/>
          <w:szCs w:val="24"/>
        </w:rPr>
        <w:t>户和</w:t>
      </w:r>
      <w:r>
        <w:rPr>
          <w:rFonts w:ascii="宋体" w:hAnsi="宋体"/>
          <w:bCs/>
          <w:sz w:val="24"/>
          <w:szCs w:val="24"/>
        </w:rPr>
        <w:t>80</w:t>
      </w:r>
      <w:r>
        <w:rPr>
          <w:rFonts w:ascii="宋体" w:hAnsi="宋体" w:hint="eastAsia"/>
          <w:bCs/>
          <w:sz w:val="24"/>
          <w:szCs w:val="24"/>
        </w:rPr>
        <w:t>户，玉米</w:t>
      </w:r>
      <w:r w:rsidRPr="007F0FAD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 w:hint="eastAsia"/>
          <w:bCs/>
          <w:sz w:val="24"/>
          <w:szCs w:val="24"/>
        </w:rPr>
        <w:t>辣椒</w:t>
      </w:r>
      <w:r w:rsidRPr="007F0FAD">
        <w:rPr>
          <w:rFonts w:ascii="宋体" w:hAnsi="宋体" w:hint="eastAsia"/>
          <w:bCs/>
          <w:sz w:val="24"/>
          <w:szCs w:val="24"/>
        </w:rPr>
        <w:t>烹调前淘洗户数</w:t>
      </w:r>
      <w:r>
        <w:rPr>
          <w:rFonts w:ascii="宋体" w:hAnsi="宋体" w:hint="eastAsia"/>
          <w:bCs/>
          <w:sz w:val="24"/>
          <w:szCs w:val="24"/>
        </w:rPr>
        <w:t>分别</w:t>
      </w:r>
      <w:r w:rsidRPr="007F0FAD">
        <w:rPr>
          <w:rFonts w:ascii="宋体" w:hAnsi="宋体" w:hint="eastAsia"/>
          <w:bCs/>
          <w:sz w:val="24"/>
          <w:szCs w:val="24"/>
        </w:rPr>
        <w:t>为</w:t>
      </w:r>
      <w:r w:rsidRPr="007F0FAD">
        <w:rPr>
          <w:rFonts w:ascii="宋体" w:hAnsi="宋体"/>
          <w:bCs/>
          <w:sz w:val="24"/>
          <w:szCs w:val="24"/>
        </w:rPr>
        <w:t>80</w:t>
      </w:r>
      <w:r w:rsidRPr="007F0FAD">
        <w:rPr>
          <w:rFonts w:ascii="宋体" w:hAnsi="宋体" w:hint="eastAsia"/>
          <w:bCs/>
          <w:sz w:val="24"/>
          <w:szCs w:val="24"/>
        </w:rPr>
        <w:t>户</w:t>
      </w:r>
      <w:r>
        <w:rPr>
          <w:rFonts w:ascii="宋体" w:hAnsi="宋体" w:hint="eastAsia"/>
          <w:bCs/>
          <w:sz w:val="24"/>
          <w:szCs w:val="24"/>
        </w:rPr>
        <w:t>和</w:t>
      </w:r>
      <w:r>
        <w:rPr>
          <w:rFonts w:ascii="宋体" w:hAnsi="宋体"/>
          <w:bCs/>
          <w:sz w:val="24"/>
          <w:szCs w:val="24"/>
        </w:rPr>
        <w:t>79</w:t>
      </w:r>
      <w:r>
        <w:rPr>
          <w:rFonts w:ascii="宋体" w:hAnsi="宋体" w:hint="eastAsia"/>
          <w:bCs/>
          <w:sz w:val="24"/>
          <w:szCs w:val="24"/>
        </w:rPr>
        <w:t>户</w:t>
      </w:r>
      <w:r w:rsidRPr="007F0FAD">
        <w:rPr>
          <w:rFonts w:ascii="宋体" w:hAnsi="宋体" w:hint="eastAsia"/>
          <w:bCs/>
          <w:sz w:val="24"/>
          <w:szCs w:val="24"/>
        </w:rPr>
        <w:t>，玉米和辣椒的正确干燥率、正确保管率、烹调前淘洗率</w:t>
      </w:r>
      <w:r>
        <w:rPr>
          <w:rFonts w:ascii="宋体" w:hAnsi="宋体" w:hint="eastAsia"/>
          <w:bCs/>
          <w:sz w:val="24"/>
          <w:szCs w:val="24"/>
        </w:rPr>
        <w:t>均接近或达到</w:t>
      </w:r>
      <w:r w:rsidRPr="007F0FAD">
        <w:rPr>
          <w:rFonts w:ascii="宋体" w:hAnsi="宋体"/>
          <w:bCs/>
          <w:sz w:val="24"/>
          <w:szCs w:val="24"/>
        </w:rPr>
        <w:t>100%</w:t>
      </w:r>
      <w:r w:rsidRPr="007F0FAD">
        <w:rPr>
          <w:rFonts w:ascii="宋体" w:hAnsi="宋体" w:hint="eastAsia"/>
          <w:bCs/>
          <w:sz w:val="24"/>
          <w:szCs w:val="24"/>
        </w:rPr>
        <w:t>。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本年度共监测了</w:t>
      </w:r>
      <w:r w:rsidRPr="007F0FAD">
        <w:rPr>
          <w:rFonts w:ascii="宋体" w:hAnsi="宋体"/>
          <w:bCs/>
          <w:sz w:val="24"/>
          <w:szCs w:val="24"/>
        </w:rPr>
        <w:t>40</w:t>
      </w:r>
      <w:r w:rsidRPr="007F0FAD">
        <w:rPr>
          <w:rFonts w:ascii="宋体" w:hAnsi="宋体" w:hint="eastAsia"/>
          <w:bCs/>
          <w:sz w:val="24"/>
          <w:szCs w:val="24"/>
        </w:rPr>
        <w:t>户家庭煤砷含量，范围为未检出</w:t>
      </w:r>
      <w:r w:rsidRPr="007F0FAD">
        <w:rPr>
          <w:rFonts w:ascii="宋体" w:hAnsi="宋体" w:hint="eastAsia"/>
          <w:sz w:val="24"/>
          <w:szCs w:val="24"/>
        </w:rPr>
        <w:t>～</w:t>
      </w:r>
      <w:r w:rsidRPr="00585B96">
        <w:rPr>
          <w:rFonts w:ascii="宋体" w:hAnsi="宋体"/>
          <w:bCs/>
          <w:color w:val="000000"/>
          <w:sz w:val="24"/>
          <w:szCs w:val="24"/>
        </w:rPr>
        <w:t>179.41</w:t>
      </w:r>
      <w:r w:rsidRPr="007F0FAD">
        <w:rPr>
          <w:rFonts w:ascii="宋体" w:hAnsi="宋体"/>
          <w:bCs/>
          <w:sz w:val="24"/>
          <w:szCs w:val="24"/>
        </w:rPr>
        <w:t>mg/kg</w:t>
      </w:r>
      <w:r w:rsidRPr="007F0FAD">
        <w:rPr>
          <w:rFonts w:ascii="宋体" w:hAnsi="宋体" w:hint="eastAsia"/>
          <w:bCs/>
          <w:sz w:val="24"/>
          <w:szCs w:val="24"/>
        </w:rPr>
        <w:t>，平均含量为</w:t>
      </w:r>
      <w:r>
        <w:rPr>
          <w:rFonts w:ascii="宋体" w:hAnsi="宋体"/>
          <w:bCs/>
          <w:sz w:val="24"/>
          <w:szCs w:val="24"/>
        </w:rPr>
        <w:t>79.74</w:t>
      </w:r>
      <w:r w:rsidRPr="007F0FAD">
        <w:rPr>
          <w:rFonts w:ascii="宋体" w:hAnsi="宋体" w:hint="eastAsia"/>
          <w:bCs/>
          <w:sz w:val="24"/>
          <w:szCs w:val="24"/>
        </w:rPr>
        <w:t>±</w:t>
      </w:r>
      <w:r>
        <w:rPr>
          <w:rFonts w:ascii="宋体" w:hAnsi="宋体"/>
          <w:bCs/>
          <w:sz w:val="24"/>
          <w:szCs w:val="24"/>
        </w:rPr>
        <w:t>64.34</w:t>
      </w:r>
      <w:r w:rsidRPr="007F0FAD">
        <w:rPr>
          <w:rFonts w:ascii="宋体" w:hAnsi="宋体"/>
          <w:bCs/>
          <w:sz w:val="24"/>
          <w:szCs w:val="24"/>
        </w:rPr>
        <w:t>mg/kg</w:t>
      </w:r>
      <w:r w:rsidRPr="007F0FAD">
        <w:rPr>
          <w:rFonts w:ascii="宋体" w:hAnsi="宋体" w:hint="eastAsia"/>
          <w:bCs/>
          <w:sz w:val="24"/>
          <w:szCs w:val="24"/>
        </w:rPr>
        <w:t>。有</w:t>
      </w:r>
      <w:r>
        <w:rPr>
          <w:rFonts w:ascii="宋体" w:hAnsi="宋体"/>
          <w:bCs/>
          <w:sz w:val="24"/>
          <w:szCs w:val="24"/>
        </w:rPr>
        <w:t>23</w:t>
      </w:r>
      <w:r w:rsidRPr="007F0FAD">
        <w:rPr>
          <w:rFonts w:ascii="宋体" w:hAnsi="宋体" w:hint="eastAsia"/>
          <w:bCs/>
          <w:sz w:val="24"/>
          <w:szCs w:val="24"/>
        </w:rPr>
        <w:t>户煤砷含量超过</w:t>
      </w:r>
      <w:r w:rsidRPr="007F0FAD">
        <w:rPr>
          <w:rFonts w:ascii="宋体" w:hAnsi="宋体"/>
          <w:bCs/>
          <w:sz w:val="24"/>
          <w:szCs w:val="24"/>
        </w:rPr>
        <w:t>40mg/kg</w:t>
      </w:r>
      <w:r w:rsidRPr="007F0FAD">
        <w:rPr>
          <w:rFonts w:ascii="宋体" w:hAnsi="宋体" w:hint="eastAsia"/>
          <w:bCs/>
          <w:sz w:val="24"/>
          <w:szCs w:val="24"/>
        </w:rPr>
        <w:t>，其平均煤砷含量为</w:t>
      </w:r>
      <w:r>
        <w:rPr>
          <w:rFonts w:ascii="宋体" w:hAnsi="宋体"/>
          <w:bCs/>
          <w:sz w:val="24"/>
          <w:szCs w:val="24"/>
        </w:rPr>
        <w:t>125.87</w:t>
      </w:r>
      <w:r w:rsidRPr="007F0FAD">
        <w:rPr>
          <w:rFonts w:ascii="宋体" w:hAnsi="宋体" w:hint="eastAsia"/>
          <w:bCs/>
          <w:sz w:val="24"/>
          <w:szCs w:val="24"/>
        </w:rPr>
        <w:t>±</w:t>
      </w:r>
      <w:r>
        <w:rPr>
          <w:rFonts w:ascii="宋体" w:hAnsi="宋体"/>
          <w:bCs/>
          <w:sz w:val="24"/>
          <w:szCs w:val="24"/>
        </w:rPr>
        <w:t>44.83</w:t>
      </w:r>
      <w:r w:rsidRPr="007F0FAD">
        <w:rPr>
          <w:rFonts w:ascii="宋体" w:hAnsi="宋体"/>
          <w:bCs/>
          <w:sz w:val="24"/>
          <w:szCs w:val="24"/>
        </w:rPr>
        <w:t>mg/kg</w:t>
      </w:r>
      <w:r w:rsidRPr="007F0FAD">
        <w:rPr>
          <w:rFonts w:ascii="宋体" w:hAnsi="宋体" w:hint="eastAsia"/>
          <w:bCs/>
          <w:sz w:val="24"/>
          <w:szCs w:val="24"/>
        </w:rPr>
        <w:t>。</w:t>
      </w:r>
    </w:p>
    <w:p w:rsidR="00661240" w:rsidRPr="005563D2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（三）砷中毒病情及尿砷水平监测</w:t>
      </w:r>
    </w:p>
    <w:p w:rsidR="00661240" w:rsidRPr="007F0FAD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8</w:t>
      </w:r>
      <w:r>
        <w:rPr>
          <w:rFonts w:ascii="宋体" w:hAnsi="宋体" w:hint="eastAsia"/>
          <w:bCs/>
          <w:sz w:val="24"/>
          <w:szCs w:val="24"/>
        </w:rPr>
        <w:t>个村共有高砷暴露人口数为</w:t>
      </w:r>
      <w:r>
        <w:rPr>
          <w:rFonts w:ascii="宋体" w:hAnsi="宋体"/>
          <w:bCs/>
          <w:sz w:val="24"/>
          <w:szCs w:val="24"/>
        </w:rPr>
        <w:t>6549</w:t>
      </w:r>
      <w:r>
        <w:rPr>
          <w:rFonts w:ascii="宋体" w:hAnsi="宋体" w:hint="eastAsia"/>
          <w:bCs/>
          <w:sz w:val="24"/>
          <w:szCs w:val="24"/>
        </w:rPr>
        <w:t>人，</w:t>
      </w:r>
      <w:r w:rsidRPr="007F0FAD">
        <w:rPr>
          <w:rFonts w:ascii="宋体" w:hAnsi="宋体" w:hint="eastAsia"/>
          <w:bCs/>
          <w:sz w:val="24"/>
          <w:szCs w:val="24"/>
        </w:rPr>
        <w:t>本年度</w:t>
      </w:r>
      <w:r>
        <w:rPr>
          <w:rFonts w:ascii="宋体" w:hAnsi="宋体" w:hint="eastAsia"/>
          <w:bCs/>
          <w:sz w:val="24"/>
          <w:szCs w:val="24"/>
        </w:rPr>
        <w:t>共对</w:t>
      </w:r>
      <w:r>
        <w:rPr>
          <w:rFonts w:ascii="宋体" w:hAnsi="宋体"/>
          <w:bCs/>
          <w:sz w:val="24"/>
          <w:szCs w:val="24"/>
        </w:rPr>
        <w:t>6134</w:t>
      </w:r>
      <w:r w:rsidRPr="007F0FAD">
        <w:rPr>
          <w:rFonts w:ascii="宋体" w:hAnsi="宋体" w:hint="eastAsia"/>
          <w:bCs/>
          <w:sz w:val="24"/>
          <w:szCs w:val="24"/>
        </w:rPr>
        <w:t>人</w:t>
      </w:r>
      <w:r>
        <w:rPr>
          <w:rFonts w:ascii="宋体" w:hAnsi="宋体" w:hint="eastAsia"/>
          <w:bCs/>
          <w:sz w:val="24"/>
          <w:szCs w:val="24"/>
        </w:rPr>
        <w:t>进行了体检</w:t>
      </w:r>
      <w:r w:rsidRPr="007F0FAD"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体检率为</w:t>
      </w:r>
      <w:r>
        <w:rPr>
          <w:rFonts w:ascii="宋体" w:hAnsi="宋体"/>
          <w:bCs/>
          <w:sz w:val="24"/>
          <w:szCs w:val="24"/>
        </w:rPr>
        <w:t>93.67%</w:t>
      </w:r>
      <w:r>
        <w:rPr>
          <w:rFonts w:ascii="宋体" w:hAnsi="宋体" w:hint="eastAsia"/>
          <w:bCs/>
          <w:sz w:val="24"/>
          <w:szCs w:val="24"/>
        </w:rPr>
        <w:t>，各村的体检率均接近或超过</w:t>
      </w:r>
      <w:r>
        <w:rPr>
          <w:rFonts w:ascii="宋体" w:hAnsi="宋体"/>
          <w:bCs/>
          <w:sz w:val="24"/>
          <w:szCs w:val="24"/>
        </w:rPr>
        <w:t>90%</w:t>
      </w:r>
      <w:r>
        <w:rPr>
          <w:rFonts w:ascii="宋体" w:hAnsi="宋体" w:hint="eastAsia"/>
          <w:bCs/>
          <w:sz w:val="24"/>
          <w:szCs w:val="24"/>
        </w:rPr>
        <w:t>。共</w:t>
      </w:r>
      <w:r w:rsidRPr="007F0FAD">
        <w:rPr>
          <w:rFonts w:ascii="宋体" w:hAnsi="宋体" w:hint="eastAsia"/>
          <w:bCs/>
          <w:sz w:val="24"/>
          <w:szCs w:val="24"/>
        </w:rPr>
        <w:t>检出砷中毒病例</w:t>
      </w:r>
      <w:r>
        <w:rPr>
          <w:rFonts w:ascii="宋体" w:hAnsi="宋体"/>
          <w:bCs/>
          <w:sz w:val="24"/>
          <w:szCs w:val="24"/>
        </w:rPr>
        <w:t>538</w:t>
      </w:r>
      <w:r w:rsidRPr="007F0FAD">
        <w:rPr>
          <w:rFonts w:ascii="宋体" w:hAnsi="宋体" w:hint="eastAsia"/>
          <w:bCs/>
          <w:sz w:val="24"/>
          <w:szCs w:val="24"/>
        </w:rPr>
        <w:t>人，检出率为</w:t>
      </w:r>
      <w:r>
        <w:rPr>
          <w:rFonts w:ascii="宋体" w:hAnsi="宋体"/>
          <w:bCs/>
          <w:sz w:val="24"/>
          <w:szCs w:val="24"/>
        </w:rPr>
        <w:t>8.77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。其中轻度病例</w:t>
      </w:r>
      <w:r w:rsidRPr="007F0FAD">
        <w:rPr>
          <w:rFonts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08</w:t>
      </w:r>
      <w:r>
        <w:rPr>
          <w:rFonts w:ascii="宋体" w:hAnsi="宋体" w:hint="eastAsia"/>
          <w:bCs/>
          <w:sz w:val="24"/>
          <w:szCs w:val="24"/>
        </w:rPr>
        <w:t>人</w:t>
      </w:r>
      <w:r w:rsidRPr="007F0FAD">
        <w:rPr>
          <w:rFonts w:ascii="宋体" w:hAnsi="宋体" w:hint="eastAsia"/>
          <w:bCs/>
          <w:sz w:val="24"/>
          <w:szCs w:val="24"/>
        </w:rPr>
        <w:t>，占全部受检人数的</w:t>
      </w:r>
      <w:r w:rsidRPr="007F0FAD">
        <w:rPr>
          <w:rFonts w:ascii="宋体" w:hAnsi="宋体"/>
          <w:bCs/>
          <w:sz w:val="24"/>
          <w:szCs w:val="24"/>
        </w:rPr>
        <w:t>5.</w:t>
      </w:r>
      <w:r>
        <w:rPr>
          <w:rFonts w:ascii="宋体" w:hAnsi="宋体"/>
          <w:bCs/>
          <w:sz w:val="24"/>
          <w:szCs w:val="24"/>
        </w:rPr>
        <w:t>02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；中度病例</w:t>
      </w:r>
      <w:r>
        <w:rPr>
          <w:rFonts w:ascii="宋体" w:hAnsi="宋体"/>
          <w:bCs/>
          <w:sz w:val="24"/>
          <w:szCs w:val="24"/>
        </w:rPr>
        <w:t>172</w:t>
      </w:r>
      <w:r>
        <w:rPr>
          <w:rFonts w:ascii="宋体" w:hAnsi="宋体" w:hint="eastAsia"/>
          <w:bCs/>
          <w:sz w:val="24"/>
          <w:szCs w:val="24"/>
        </w:rPr>
        <w:t>人</w:t>
      </w:r>
      <w:r w:rsidRPr="007F0FAD">
        <w:rPr>
          <w:rFonts w:ascii="宋体" w:hAnsi="宋体" w:hint="eastAsia"/>
          <w:bCs/>
          <w:sz w:val="24"/>
          <w:szCs w:val="24"/>
        </w:rPr>
        <w:t>，占全部受检人数的</w:t>
      </w:r>
      <w:r>
        <w:rPr>
          <w:rFonts w:ascii="宋体" w:hAnsi="宋体"/>
          <w:bCs/>
          <w:sz w:val="24"/>
          <w:szCs w:val="24"/>
        </w:rPr>
        <w:t>2.80</w:t>
      </w:r>
      <w:r w:rsidRPr="007F0FAD">
        <w:rPr>
          <w:rFonts w:ascii="宋体" w:hAnsi="宋体" w:hint="eastAsia"/>
          <w:bCs/>
          <w:sz w:val="24"/>
          <w:szCs w:val="24"/>
        </w:rPr>
        <w:t>％；重度病例</w:t>
      </w:r>
      <w:r w:rsidRPr="007F0FAD">
        <w:rPr>
          <w:rFonts w:ascii="宋体" w:hAnsi="宋体"/>
          <w:bCs/>
          <w:sz w:val="24"/>
          <w:szCs w:val="24"/>
        </w:rPr>
        <w:t>5</w:t>
      </w:r>
      <w:r>
        <w:rPr>
          <w:rFonts w:ascii="宋体" w:hAnsi="宋体"/>
          <w:bCs/>
          <w:sz w:val="24"/>
          <w:szCs w:val="24"/>
        </w:rPr>
        <w:t>8</w:t>
      </w:r>
      <w:r>
        <w:rPr>
          <w:rFonts w:ascii="宋体" w:hAnsi="宋体" w:hint="eastAsia"/>
          <w:bCs/>
          <w:sz w:val="24"/>
          <w:szCs w:val="24"/>
        </w:rPr>
        <w:t>人</w:t>
      </w:r>
      <w:r w:rsidRPr="007F0FAD">
        <w:rPr>
          <w:rFonts w:ascii="宋体" w:hAnsi="宋体" w:hint="eastAsia"/>
          <w:bCs/>
          <w:sz w:val="24"/>
          <w:szCs w:val="24"/>
        </w:rPr>
        <w:t>，占全部受检人数的</w:t>
      </w:r>
      <w:r w:rsidRPr="007F0FAD">
        <w:rPr>
          <w:rFonts w:ascii="宋体" w:hAnsi="宋体"/>
          <w:bCs/>
          <w:sz w:val="24"/>
          <w:szCs w:val="24"/>
        </w:rPr>
        <w:t>0.9</w:t>
      </w:r>
      <w:r>
        <w:rPr>
          <w:rFonts w:ascii="宋体" w:hAnsi="宋体"/>
          <w:bCs/>
          <w:sz w:val="24"/>
          <w:szCs w:val="24"/>
        </w:rPr>
        <w:t>5</w:t>
      </w:r>
      <w:r w:rsidRPr="007F0FAD">
        <w:rPr>
          <w:rFonts w:ascii="宋体" w:hAnsi="宋体"/>
          <w:bCs/>
          <w:sz w:val="24"/>
          <w:szCs w:val="24"/>
        </w:rPr>
        <w:t>%</w:t>
      </w:r>
      <w:r w:rsidRPr="007F0FAD">
        <w:rPr>
          <w:rFonts w:ascii="宋体" w:hAnsi="宋体" w:hint="eastAsia"/>
          <w:bCs/>
          <w:sz w:val="24"/>
          <w:szCs w:val="24"/>
        </w:rPr>
        <w:t>。尚有</w:t>
      </w:r>
      <w:r w:rsidRPr="007F0FAD"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09</w:t>
      </w:r>
      <w:r w:rsidRPr="007F0FAD">
        <w:rPr>
          <w:rFonts w:ascii="宋体" w:hAnsi="宋体" w:hint="eastAsia"/>
          <w:bCs/>
          <w:sz w:val="24"/>
          <w:szCs w:val="24"/>
        </w:rPr>
        <w:t>例可疑病例，占全部受检人数的</w:t>
      </w:r>
      <w:r>
        <w:rPr>
          <w:rFonts w:ascii="宋体" w:hAnsi="宋体"/>
          <w:bCs/>
          <w:sz w:val="24"/>
          <w:szCs w:val="24"/>
        </w:rPr>
        <w:t>1.78</w:t>
      </w:r>
      <w:r w:rsidRPr="007F0FAD">
        <w:rPr>
          <w:rFonts w:ascii="宋体" w:hAnsi="宋体"/>
          <w:bCs/>
          <w:sz w:val="24"/>
          <w:szCs w:val="24"/>
        </w:rPr>
        <w:t>%</w:t>
      </w:r>
      <w:r>
        <w:rPr>
          <w:rFonts w:ascii="宋体" w:hAnsi="宋体" w:hint="eastAsia"/>
          <w:bCs/>
          <w:sz w:val="24"/>
          <w:szCs w:val="24"/>
        </w:rPr>
        <w:t>。未发现</w:t>
      </w:r>
      <w:r w:rsidRPr="007F0FAD">
        <w:rPr>
          <w:rFonts w:ascii="宋体" w:hAnsi="宋体" w:hint="eastAsia"/>
          <w:bCs/>
          <w:sz w:val="24"/>
          <w:szCs w:val="24"/>
        </w:rPr>
        <w:t>新发病例</w:t>
      </w:r>
      <w:r>
        <w:rPr>
          <w:rFonts w:ascii="宋体" w:hAnsi="宋体" w:hint="eastAsia"/>
          <w:bCs/>
          <w:sz w:val="24"/>
          <w:szCs w:val="24"/>
        </w:rPr>
        <w:t>，</w:t>
      </w:r>
      <w:r w:rsidRPr="007F0FAD">
        <w:rPr>
          <w:rFonts w:ascii="宋体" w:hAnsi="宋体" w:hint="eastAsia"/>
          <w:bCs/>
          <w:sz w:val="24"/>
          <w:szCs w:val="24"/>
        </w:rPr>
        <w:t>无新增皮肤癌病例，皮肤癌累计病例</w:t>
      </w:r>
      <w:r w:rsidRPr="007F0FAD">
        <w:rPr>
          <w:rFonts w:ascii="宋体" w:hAnsi="宋体"/>
          <w:bCs/>
          <w:sz w:val="24"/>
          <w:szCs w:val="24"/>
        </w:rPr>
        <w:t>4</w:t>
      </w:r>
      <w:r w:rsidRPr="007F0FAD">
        <w:rPr>
          <w:rFonts w:ascii="宋体" w:hAnsi="宋体" w:hint="eastAsia"/>
          <w:bCs/>
          <w:sz w:val="24"/>
          <w:szCs w:val="24"/>
        </w:rPr>
        <w:t>例。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本年度共检测了</w:t>
      </w:r>
      <w:r w:rsidRPr="007F0FAD">
        <w:rPr>
          <w:rFonts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58</w:t>
      </w:r>
      <w:r>
        <w:rPr>
          <w:rFonts w:ascii="宋体" w:hAnsi="宋体" w:hint="eastAsia"/>
          <w:bCs/>
          <w:sz w:val="24"/>
          <w:szCs w:val="24"/>
        </w:rPr>
        <w:t>份成人尿</w:t>
      </w:r>
      <w:r w:rsidRPr="007F0FAD">
        <w:rPr>
          <w:rFonts w:ascii="宋体" w:hAnsi="宋体" w:hint="eastAsia"/>
          <w:bCs/>
          <w:sz w:val="24"/>
          <w:szCs w:val="24"/>
        </w:rPr>
        <w:t>样，</w:t>
      </w:r>
      <w:r>
        <w:rPr>
          <w:rFonts w:ascii="宋体" w:hAnsi="宋体" w:hint="eastAsia"/>
          <w:bCs/>
          <w:sz w:val="24"/>
          <w:szCs w:val="24"/>
        </w:rPr>
        <w:t>砷含量</w:t>
      </w:r>
      <w:r w:rsidRPr="007F0FAD">
        <w:rPr>
          <w:rFonts w:ascii="宋体" w:hAnsi="宋体" w:hint="eastAsia"/>
          <w:bCs/>
          <w:sz w:val="24"/>
          <w:szCs w:val="24"/>
        </w:rPr>
        <w:t>范围在未检出</w:t>
      </w:r>
      <w:r w:rsidRPr="007F0FAD">
        <w:rPr>
          <w:rFonts w:ascii="宋体" w:hAnsi="宋体" w:hint="eastAsia"/>
          <w:sz w:val="24"/>
          <w:szCs w:val="24"/>
        </w:rPr>
        <w:t>～</w:t>
      </w:r>
      <w:r w:rsidRPr="007F0FAD">
        <w:rPr>
          <w:rFonts w:ascii="宋体"/>
          <w:bCs/>
          <w:sz w:val="24"/>
          <w:szCs w:val="24"/>
        </w:rPr>
        <w:t>0.</w:t>
      </w:r>
      <w:r>
        <w:rPr>
          <w:rFonts w:ascii="宋体" w:hAnsi="宋体"/>
          <w:bCs/>
          <w:sz w:val="24"/>
          <w:szCs w:val="24"/>
        </w:rPr>
        <w:t>260</w:t>
      </w:r>
      <w:r w:rsidRPr="007F0FAD">
        <w:rPr>
          <w:rFonts w:ascii="宋体" w:hAnsi="宋体"/>
          <w:bCs/>
          <w:sz w:val="24"/>
          <w:szCs w:val="24"/>
        </w:rPr>
        <w:t xml:space="preserve"> mg/L</w:t>
      </w:r>
      <w:r w:rsidRPr="007F0FAD">
        <w:rPr>
          <w:rFonts w:ascii="宋体" w:hAnsi="宋体" w:hint="eastAsia"/>
          <w:bCs/>
          <w:sz w:val="24"/>
          <w:szCs w:val="24"/>
        </w:rPr>
        <w:t>，中位数为</w:t>
      </w:r>
      <w:r w:rsidRPr="007F0FAD">
        <w:rPr>
          <w:rFonts w:ascii="宋体"/>
          <w:bCs/>
          <w:sz w:val="24"/>
          <w:szCs w:val="24"/>
        </w:rPr>
        <w:t>0.0</w:t>
      </w:r>
      <w:r>
        <w:rPr>
          <w:rFonts w:ascii="宋体" w:hAnsi="宋体"/>
          <w:bCs/>
          <w:sz w:val="24"/>
          <w:szCs w:val="24"/>
        </w:rPr>
        <w:t>06</w:t>
      </w:r>
      <w:r w:rsidRPr="007F0FAD">
        <w:rPr>
          <w:rFonts w:ascii="宋体" w:hAnsi="宋体"/>
          <w:bCs/>
          <w:sz w:val="24"/>
          <w:szCs w:val="24"/>
        </w:rPr>
        <w:t>mg/L</w:t>
      </w:r>
      <w:r w:rsidRPr="007F0FAD">
        <w:rPr>
          <w:rFonts w:ascii="宋体" w:hAnsi="宋体" w:hint="eastAsia"/>
          <w:bCs/>
          <w:sz w:val="24"/>
          <w:szCs w:val="24"/>
        </w:rPr>
        <w:t>。</w:t>
      </w:r>
    </w:p>
    <w:p w:rsidR="00661240" w:rsidRPr="005563D2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三、主要结论</w:t>
      </w:r>
    </w:p>
    <w:p w:rsidR="00661240" w:rsidRPr="007F0FAD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（一）本年度</w:t>
      </w:r>
      <w:r>
        <w:rPr>
          <w:rFonts w:ascii="宋体" w:hAnsi="宋体" w:hint="eastAsia"/>
          <w:bCs/>
          <w:sz w:val="24"/>
          <w:szCs w:val="24"/>
        </w:rPr>
        <w:t>监测县</w:t>
      </w:r>
      <w:r w:rsidRPr="007F0FAD">
        <w:rPr>
          <w:rFonts w:ascii="宋体" w:hAnsi="宋体" w:hint="eastAsia"/>
          <w:bCs/>
          <w:sz w:val="24"/>
          <w:szCs w:val="24"/>
        </w:rPr>
        <w:t>高砷煤矿</w:t>
      </w:r>
      <w:r>
        <w:rPr>
          <w:rFonts w:ascii="宋体" w:hAnsi="宋体" w:hint="eastAsia"/>
          <w:bCs/>
          <w:sz w:val="24"/>
          <w:szCs w:val="24"/>
        </w:rPr>
        <w:t>仍然全部处于关闭状态</w:t>
      </w:r>
      <w:r w:rsidRPr="007F0FAD">
        <w:rPr>
          <w:rFonts w:ascii="宋体" w:hAnsi="宋体" w:hint="eastAsia"/>
          <w:bCs/>
          <w:sz w:val="24"/>
          <w:szCs w:val="24"/>
        </w:rPr>
        <w:t>。监测户煤砷含量平均为</w:t>
      </w:r>
      <w:r>
        <w:rPr>
          <w:rFonts w:ascii="宋体" w:hAnsi="宋体"/>
          <w:bCs/>
          <w:sz w:val="24"/>
          <w:szCs w:val="24"/>
        </w:rPr>
        <w:t>79.74</w:t>
      </w:r>
      <w:r w:rsidRPr="007F0FAD">
        <w:rPr>
          <w:rFonts w:ascii="宋体" w:hAnsi="宋体"/>
          <w:bCs/>
          <w:sz w:val="24"/>
          <w:szCs w:val="24"/>
        </w:rPr>
        <w:t>mg/kg</w:t>
      </w:r>
      <w:r w:rsidRPr="007F0FAD">
        <w:rPr>
          <w:rFonts w:ascii="宋体" w:hAnsi="宋体" w:hint="eastAsia"/>
          <w:bCs/>
          <w:sz w:val="24"/>
          <w:szCs w:val="24"/>
        </w:rPr>
        <w:t>，比上一年度</w:t>
      </w:r>
      <w:r>
        <w:rPr>
          <w:rFonts w:ascii="宋体" w:hAnsi="宋体" w:hint="eastAsia"/>
          <w:bCs/>
          <w:sz w:val="24"/>
          <w:szCs w:val="24"/>
        </w:rPr>
        <w:t>增加</w:t>
      </w:r>
      <w:r>
        <w:rPr>
          <w:rFonts w:ascii="宋体" w:hAnsi="宋体"/>
          <w:bCs/>
          <w:sz w:val="24"/>
          <w:szCs w:val="24"/>
        </w:rPr>
        <w:t>31.81</w:t>
      </w:r>
      <w:r w:rsidRPr="007F0FAD">
        <w:rPr>
          <w:rFonts w:ascii="宋体" w:hAnsi="宋体"/>
          <w:bCs/>
          <w:sz w:val="24"/>
          <w:szCs w:val="24"/>
        </w:rPr>
        <w:t>mg/kg</w:t>
      </w:r>
      <w:r w:rsidRPr="007F0FAD">
        <w:rPr>
          <w:rFonts w:ascii="宋体" w:hAnsi="宋体" w:hint="eastAsia"/>
          <w:bCs/>
          <w:sz w:val="24"/>
          <w:szCs w:val="24"/>
        </w:rPr>
        <w:t>。</w:t>
      </w:r>
    </w:p>
    <w:p w:rsidR="00661240" w:rsidRPr="001B6FCB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color w:val="000000"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二</w:t>
      </w:r>
      <w:r w:rsidRPr="007F0FAD"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监测户各种类型炉灶使用频率从高到低分别是：</w:t>
      </w:r>
      <w:r w:rsidRPr="007F0FAD">
        <w:rPr>
          <w:rFonts w:ascii="宋体" w:hAnsi="宋体" w:hint="eastAsia"/>
          <w:bCs/>
          <w:sz w:val="24"/>
          <w:szCs w:val="24"/>
        </w:rPr>
        <w:t>电炊具等其他灶具</w:t>
      </w:r>
      <w:r>
        <w:rPr>
          <w:rFonts w:ascii="宋体" w:hAnsi="宋体"/>
          <w:bCs/>
          <w:sz w:val="24"/>
          <w:szCs w:val="24"/>
        </w:rPr>
        <w:t>85%</w:t>
      </w:r>
      <w:r>
        <w:rPr>
          <w:rFonts w:ascii="宋体" w:hAnsi="宋体" w:hint="eastAsia"/>
          <w:bCs/>
          <w:sz w:val="24"/>
          <w:szCs w:val="24"/>
        </w:rPr>
        <w:t>、</w:t>
      </w:r>
      <w:r w:rsidRPr="007F0FAD">
        <w:rPr>
          <w:rFonts w:ascii="宋体" w:hAnsi="宋体" w:hint="eastAsia"/>
          <w:bCs/>
          <w:sz w:val="24"/>
          <w:szCs w:val="24"/>
        </w:rPr>
        <w:t>电热器</w:t>
      </w:r>
      <w:r>
        <w:rPr>
          <w:rFonts w:ascii="宋体" w:hAnsi="宋体"/>
          <w:bCs/>
          <w:sz w:val="24"/>
          <w:szCs w:val="24"/>
        </w:rPr>
        <w:t>73.75%</w:t>
      </w:r>
      <w:r>
        <w:rPr>
          <w:rFonts w:ascii="宋体" w:hAnsi="宋体" w:hint="eastAsia"/>
          <w:bCs/>
          <w:sz w:val="24"/>
          <w:szCs w:val="24"/>
        </w:rPr>
        <w:t>、改良铁炉</w:t>
      </w:r>
      <w:r>
        <w:rPr>
          <w:rFonts w:ascii="宋体" w:hAnsi="宋体"/>
          <w:bCs/>
          <w:sz w:val="24"/>
          <w:szCs w:val="24"/>
        </w:rPr>
        <w:t>68.75%</w:t>
      </w:r>
      <w:r>
        <w:rPr>
          <w:rFonts w:ascii="宋体" w:hAnsi="宋体" w:hint="eastAsia"/>
          <w:bCs/>
          <w:sz w:val="24"/>
          <w:szCs w:val="24"/>
        </w:rPr>
        <w:t>、</w:t>
      </w:r>
      <w:r w:rsidRPr="007F0FAD">
        <w:rPr>
          <w:rFonts w:ascii="宋体" w:hAnsi="宋体" w:hint="eastAsia"/>
          <w:bCs/>
          <w:sz w:val="24"/>
          <w:szCs w:val="24"/>
        </w:rPr>
        <w:t>改良煤灶</w:t>
      </w:r>
      <w:r>
        <w:rPr>
          <w:rFonts w:ascii="宋体" w:hAnsi="宋体"/>
          <w:bCs/>
          <w:sz w:val="24"/>
          <w:szCs w:val="24"/>
        </w:rPr>
        <w:t>32.5%</w:t>
      </w:r>
      <w:r>
        <w:rPr>
          <w:rFonts w:ascii="宋体" w:hAnsi="宋体" w:hint="eastAsia"/>
          <w:bCs/>
          <w:sz w:val="24"/>
          <w:szCs w:val="24"/>
        </w:rPr>
        <w:t>、敞炉</w:t>
      </w:r>
      <w:r>
        <w:rPr>
          <w:rFonts w:ascii="宋体" w:hAnsi="宋体"/>
          <w:bCs/>
          <w:sz w:val="24"/>
          <w:szCs w:val="24"/>
        </w:rPr>
        <w:t>12.5%</w:t>
      </w:r>
      <w:r>
        <w:rPr>
          <w:rFonts w:ascii="宋体" w:hAnsi="宋体" w:hint="eastAsia"/>
          <w:bCs/>
          <w:sz w:val="24"/>
          <w:szCs w:val="24"/>
        </w:rPr>
        <w:t>、敞灶</w:t>
      </w:r>
      <w:r>
        <w:rPr>
          <w:rFonts w:ascii="宋体"/>
          <w:bCs/>
          <w:sz w:val="24"/>
          <w:szCs w:val="24"/>
        </w:rPr>
        <w:t>0</w:t>
      </w:r>
      <w:r>
        <w:rPr>
          <w:rFonts w:ascii="宋体" w:hAnsi="宋体" w:hint="eastAsia"/>
          <w:bCs/>
          <w:sz w:val="24"/>
          <w:szCs w:val="24"/>
        </w:rPr>
        <w:t>。</w:t>
      </w:r>
      <w:r w:rsidRPr="007F0FAD">
        <w:rPr>
          <w:rFonts w:ascii="宋体" w:hAnsi="宋体" w:hint="eastAsia"/>
          <w:bCs/>
          <w:sz w:val="24"/>
          <w:szCs w:val="24"/>
        </w:rPr>
        <w:t>与上一年度</w:t>
      </w:r>
      <w:r>
        <w:rPr>
          <w:rFonts w:ascii="宋体" w:hAnsi="宋体" w:hint="eastAsia"/>
          <w:bCs/>
          <w:sz w:val="24"/>
          <w:szCs w:val="24"/>
        </w:rPr>
        <w:t>比较，</w:t>
      </w:r>
      <w:r w:rsidRPr="000F43BA">
        <w:rPr>
          <w:rFonts w:ascii="宋体" w:hAnsi="宋体" w:hint="eastAsia"/>
          <w:bCs/>
          <w:sz w:val="24"/>
          <w:szCs w:val="24"/>
        </w:rPr>
        <w:t>改良铁炉的比例下降了</w:t>
      </w:r>
      <w:r w:rsidRPr="000F43BA">
        <w:rPr>
          <w:rFonts w:ascii="宋体" w:hAnsi="宋体"/>
          <w:bCs/>
          <w:sz w:val="24"/>
          <w:szCs w:val="24"/>
        </w:rPr>
        <w:t>28.75%</w:t>
      </w:r>
      <w:r w:rsidRPr="000F43BA">
        <w:rPr>
          <w:rFonts w:ascii="宋体" w:hAnsi="宋体" w:hint="eastAsia"/>
          <w:bCs/>
          <w:sz w:val="24"/>
          <w:szCs w:val="24"/>
        </w:rPr>
        <w:t>，改良煤灶的比例下降了</w:t>
      </w:r>
      <w:r w:rsidRPr="000F43BA">
        <w:rPr>
          <w:rFonts w:ascii="宋体" w:hAnsi="宋体"/>
          <w:bCs/>
          <w:sz w:val="24"/>
          <w:szCs w:val="24"/>
        </w:rPr>
        <w:t>30%</w:t>
      </w:r>
      <w:r w:rsidRPr="000F43BA">
        <w:rPr>
          <w:rFonts w:ascii="宋体" w:hAnsi="宋体" w:hint="eastAsia"/>
          <w:bCs/>
          <w:sz w:val="24"/>
          <w:szCs w:val="24"/>
        </w:rPr>
        <w:t>，敞灶的比例下降了</w:t>
      </w:r>
      <w:r w:rsidRPr="000F43BA">
        <w:rPr>
          <w:rFonts w:ascii="宋体" w:hAnsi="宋体"/>
          <w:bCs/>
          <w:sz w:val="24"/>
          <w:szCs w:val="24"/>
        </w:rPr>
        <w:t>12.5%</w:t>
      </w:r>
      <w:r w:rsidRPr="000F43BA">
        <w:rPr>
          <w:rFonts w:ascii="宋体" w:hAnsi="宋体" w:hint="eastAsia"/>
          <w:bCs/>
          <w:sz w:val="24"/>
          <w:szCs w:val="24"/>
        </w:rPr>
        <w:t>，但敞炉的比例上升了</w:t>
      </w:r>
      <w:r w:rsidRPr="000F43BA">
        <w:rPr>
          <w:rFonts w:ascii="宋体" w:hAnsi="宋体"/>
          <w:bCs/>
          <w:sz w:val="24"/>
          <w:szCs w:val="24"/>
        </w:rPr>
        <w:t>12.5%</w:t>
      </w:r>
      <w:r w:rsidRPr="000F43BA">
        <w:rPr>
          <w:rFonts w:ascii="宋体" w:hAnsi="宋体" w:hint="eastAsia"/>
          <w:bCs/>
          <w:sz w:val="24"/>
          <w:szCs w:val="24"/>
        </w:rPr>
        <w:t>。另外，</w:t>
      </w:r>
      <w:r w:rsidRPr="007F0FAD">
        <w:rPr>
          <w:rFonts w:ascii="宋体" w:hAnsi="宋体" w:hint="eastAsia"/>
          <w:bCs/>
          <w:sz w:val="24"/>
          <w:szCs w:val="24"/>
        </w:rPr>
        <w:t>电炊具等其他灶具</w:t>
      </w:r>
      <w:r>
        <w:rPr>
          <w:rFonts w:ascii="宋体" w:hAnsi="宋体" w:hint="eastAsia"/>
          <w:bCs/>
          <w:sz w:val="24"/>
          <w:szCs w:val="24"/>
        </w:rPr>
        <w:t>比例升高了</w:t>
      </w:r>
      <w:r>
        <w:rPr>
          <w:rFonts w:ascii="宋体" w:hAnsi="宋体"/>
          <w:bCs/>
          <w:sz w:val="24"/>
          <w:szCs w:val="24"/>
        </w:rPr>
        <w:t>3.75%</w:t>
      </w:r>
      <w:r>
        <w:rPr>
          <w:rFonts w:ascii="宋体" w:hAnsi="宋体" w:hint="eastAsia"/>
          <w:bCs/>
          <w:sz w:val="24"/>
          <w:szCs w:val="24"/>
        </w:rPr>
        <w:t>，</w:t>
      </w:r>
      <w:r w:rsidRPr="001B6FCB">
        <w:rPr>
          <w:rFonts w:ascii="宋体" w:hAnsi="宋体" w:hint="eastAsia"/>
          <w:bCs/>
          <w:color w:val="000000"/>
          <w:sz w:val="24"/>
          <w:szCs w:val="24"/>
        </w:rPr>
        <w:t>电热器的比例下降了</w:t>
      </w:r>
      <w:r w:rsidRPr="001B6FCB">
        <w:rPr>
          <w:rFonts w:ascii="宋体" w:hAnsi="宋体"/>
          <w:bCs/>
          <w:color w:val="000000"/>
          <w:sz w:val="24"/>
          <w:szCs w:val="24"/>
        </w:rPr>
        <w:t>5%</w:t>
      </w:r>
      <w:r w:rsidRPr="001B6FCB">
        <w:rPr>
          <w:rFonts w:ascii="宋体" w:hAnsi="宋体" w:hint="eastAsia"/>
          <w:bCs/>
          <w:color w:val="000000"/>
          <w:sz w:val="24"/>
          <w:szCs w:val="24"/>
        </w:rPr>
        <w:t>。</w:t>
      </w:r>
      <w:r w:rsidRPr="001B6FCB">
        <w:rPr>
          <w:rFonts w:ascii="宋体" w:hAnsi="宋体"/>
          <w:bCs/>
          <w:color w:val="000000"/>
          <w:sz w:val="24"/>
          <w:szCs w:val="24"/>
        </w:rPr>
        <w:t xml:space="preserve"> 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color w:val="000000"/>
          <w:sz w:val="24"/>
          <w:szCs w:val="24"/>
        </w:rPr>
      </w:pPr>
      <w:r w:rsidRPr="000F43BA">
        <w:rPr>
          <w:rFonts w:ascii="宋体" w:hAnsi="宋体" w:hint="eastAsia"/>
          <w:bCs/>
          <w:color w:val="000000"/>
          <w:sz w:val="24"/>
          <w:szCs w:val="24"/>
        </w:rPr>
        <w:t>改良铁炉合格率为</w:t>
      </w:r>
      <w:r w:rsidRPr="000F43BA">
        <w:rPr>
          <w:rFonts w:ascii="宋体" w:hAnsi="宋体"/>
          <w:bCs/>
          <w:color w:val="000000"/>
          <w:sz w:val="24"/>
          <w:szCs w:val="24"/>
        </w:rPr>
        <w:t>81.82%</w:t>
      </w:r>
      <w:r w:rsidRPr="000F43BA">
        <w:rPr>
          <w:rFonts w:ascii="宋体" w:hAnsi="宋体" w:hint="eastAsia"/>
          <w:bCs/>
          <w:color w:val="000000"/>
          <w:sz w:val="24"/>
          <w:szCs w:val="24"/>
        </w:rPr>
        <w:t>，比上一年度提高了</w:t>
      </w:r>
      <w:r w:rsidRPr="000F43BA">
        <w:rPr>
          <w:rFonts w:ascii="宋体" w:hAnsi="宋体"/>
          <w:bCs/>
          <w:color w:val="000000"/>
          <w:sz w:val="24"/>
          <w:szCs w:val="24"/>
        </w:rPr>
        <w:t>7.46</w:t>
      </w:r>
      <w:r w:rsidRPr="000F43BA">
        <w:rPr>
          <w:rFonts w:ascii="宋体" w:hAnsi="宋体" w:hint="eastAsia"/>
          <w:bCs/>
          <w:color w:val="000000"/>
          <w:sz w:val="24"/>
          <w:szCs w:val="24"/>
        </w:rPr>
        <w:t>个百分点；改良煤灶合格率为</w:t>
      </w:r>
      <w:r w:rsidRPr="000F43BA">
        <w:rPr>
          <w:rFonts w:ascii="宋体" w:hAnsi="宋体"/>
          <w:bCs/>
          <w:color w:val="000000"/>
          <w:sz w:val="24"/>
          <w:szCs w:val="24"/>
        </w:rPr>
        <w:t>100%</w:t>
      </w:r>
      <w:r w:rsidRPr="000F43BA">
        <w:rPr>
          <w:rFonts w:ascii="宋体" w:hAnsi="宋体" w:hint="eastAsia"/>
          <w:bCs/>
          <w:color w:val="000000"/>
          <w:sz w:val="24"/>
          <w:szCs w:val="24"/>
        </w:rPr>
        <w:t>，比上一年度提高了</w:t>
      </w:r>
      <w:r w:rsidRPr="000F43BA">
        <w:rPr>
          <w:rFonts w:ascii="宋体" w:hAnsi="宋体"/>
          <w:bCs/>
          <w:color w:val="000000"/>
          <w:sz w:val="24"/>
          <w:szCs w:val="24"/>
        </w:rPr>
        <w:t>40</w:t>
      </w:r>
      <w:r w:rsidRPr="000F43BA">
        <w:rPr>
          <w:rFonts w:ascii="宋体" w:hAnsi="宋体" w:hint="eastAsia"/>
          <w:bCs/>
          <w:color w:val="000000"/>
          <w:sz w:val="24"/>
          <w:szCs w:val="24"/>
        </w:rPr>
        <w:t>个百分点；合格改良铁炉和煤灶的正确使用率与去年一致，均为</w:t>
      </w:r>
      <w:r w:rsidRPr="000F43BA">
        <w:rPr>
          <w:rFonts w:ascii="宋体" w:hAnsi="宋体"/>
          <w:bCs/>
          <w:color w:val="000000"/>
          <w:sz w:val="24"/>
          <w:szCs w:val="24"/>
        </w:rPr>
        <w:t>100%</w:t>
      </w:r>
      <w:r w:rsidRPr="000F43BA"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661240" w:rsidRPr="007F0FAD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7F0FAD">
        <w:rPr>
          <w:rFonts w:ascii="宋体" w:hAnsi="宋体" w:hint="eastAsia"/>
          <w:bCs/>
          <w:sz w:val="24"/>
          <w:szCs w:val="24"/>
        </w:rPr>
        <w:t>玉米和辣椒的正确干燥率、正确保管率、烹调前淘洗率</w:t>
      </w:r>
      <w:r>
        <w:rPr>
          <w:rFonts w:ascii="宋体" w:hAnsi="宋体" w:hint="eastAsia"/>
          <w:bCs/>
          <w:sz w:val="24"/>
          <w:szCs w:val="24"/>
        </w:rPr>
        <w:t>均接近或达到</w:t>
      </w:r>
      <w:r w:rsidRPr="007F0FAD">
        <w:rPr>
          <w:rFonts w:ascii="宋体" w:hAnsi="宋体"/>
          <w:bCs/>
          <w:sz w:val="24"/>
          <w:szCs w:val="24"/>
        </w:rPr>
        <w:t>100%</w:t>
      </w:r>
      <w:r>
        <w:rPr>
          <w:rFonts w:ascii="宋体" w:hAnsi="宋体" w:hint="eastAsia"/>
          <w:bCs/>
          <w:sz w:val="24"/>
          <w:szCs w:val="24"/>
        </w:rPr>
        <w:t>，与上一年度基本一致。</w:t>
      </w:r>
    </w:p>
    <w:p w:rsidR="00661240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Cs/>
          <w:sz w:val="24"/>
          <w:szCs w:val="24"/>
        </w:rPr>
      </w:pPr>
      <w:r w:rsidRPr="009E7178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三</w:t>
      </w:r>
      <w:r w:rsidRPr="009E7178">
        <w:rPr>
          <w:rFonts w:ascii="宋体" w:hAnsi="宋体" w:hint="eastAsia"/>
          <w:bCs/>
          <w:sz w:val="24"/>
          <w:szCs w:val="24"/>
        </w:rPr>
        <w:t>）</w:t>
      </w:r>
      <w:r w:rsidRPr="007F0FAD">
        <w:rPr>
          <w:rFonts w:ascii="宋体" w:hAnsi="宋体" w:hint="eastAsia"/>
          <w:bCs/>
          <w:sz w:val="24"/>
          <w:szCs w:val="24"/>
        </w:rPr>
        <w:t>本年度共体检</w:t>
      </w:r>
      <w:r w:rsidRPr="007F0FAD">
        <w:rPr>
          <w:rFonts w:ascii="宋体" w:hAnsi="宋体"/>
          <w:bCs/>
          <w:sz w:val="24"/>
          <w:szCs w:val="24"/>
        </w:rPr>
        <w:t>6</w:t>
      </w:r>
      <w:r>
        <w:rPr>
          <w:rFonts w:ascii="宋体" w:hAnsi="宋体"/>
          <w:bCs/>
          <w:sz w:val="24"/>
          <w:szCs w:val="24"/>
        </w:rPr>
        <w:t>134</w:t>
      </w:r>
      <w:r w:rsidRPr="007F0FAD">
        <w:rPr>
          <w:rFonts w:ascii="宋体" w:hAnsi="宋体" w:hint="eastAsia"/>
          <w:bCs/>
          <w:sz w:val="24"/>
          <w:szCs w:val="24"/>
        </w:rPr>
        <w:t>人，砷中毒病人检出率为</w:t>
      </w:r>
      <w:r>
        <w:rPr>
          <w:rFonts w:ascii="宋体" w:hAnsi="宋体"/>
          <w:bCs/>
          <w:sz w:val="24"/>
          <w:szCs w:val="24"/>
        </w:rPr>
        <w:t>8.77</w:t>
      </w:r>
      <w:r w:rsidRPr="007F0FAD">
        <w:rPr>
          <w:rFonts w:ascii="宋体" w:hAnsi="宋体"/>
          <w:bCs/>
          <w:sz w:val="24"/>
          <w:szCs w:val="24"/>
        </w:rPr>
        <w:t>%</w:t>
      </w:r>
      <w:r>
        <w:rPr>
          <w:rFonts w:ascii="宋体" w:hAnsi="宋体" w:hint="eastAsia"/>
          <w:bCs/>
          <w:sz w:val="24"/>
          <w:szCs w:val="24"/>
        </w:rPr>
        <w:t>，</w:t>
      </w:r>
      <w:r w:rsidRPr="00772FD6">
        <w:rPr>
          <w:rFonts w:ascii="宋体" w:hAnsi="宋体" w:hint="eastAsia"/>
          <w:bCs/>
          <w:sz w:val="24"/>
          <w:szCs w:val="24"/>
        </w:rPr>
        <w:t>较去年下降</w:t>
      </w:r>
      <w:r>
        <w:rPr>
          <w:rFonts w:ascii="宋体" w:hAnsi="宋体" w:hint="eastAsia"/>
          <w:bCs/>
          <w:sz w:val="24"/>
          <w:szCs w:val="24"/>
        </w:rPr>
        <w:t>了</w:t>
      </w:r>
      <w:r>
        <w:rPr>
          <w:rFonts w:ascii="宋体" w:hAnsi="宋体"/>
          <w:bCs/>
          <w:sz w:val="24"/>
          <w:szCs w:val="24"/>
        </w:rPr>
        <w:t>0.58</w:t>
      </w:r>
      <w:r>
        <w:rPr>
          <w:rFonts w:ascii="宋体" w:hAnsi="宋体" w:hint="eastAsia"/>
          <w:bCs/>
          <w:sz w:val="24"/>
          <w:szCs w:val="24"/>
        </w:rPr>
        <w:t>个</w:t>
      </w:r>
      <w:r w:rsidRPr="00772FD6">
        <w:rPr>
          <w:rFonts w:ascii="宋体" w:hAnsi="宋体" w:hint="eastAsia"/>
          <w:bCs/>
          <w:sz w:val="24"/>
          <w:szCs w:val="24"/>
        </w:rPr>
        <w:t>百分点</w:t>
      </w:r>
      <w:r>
        <w:rPr>
          <w:rFonts w:ascii="宋体" w:hAnsi="宋体" w:hint="eastAsia"/>
          <w:bCs/>
          <w:sz w:val="24"/>
          <w:szCs w:val="24"/>
        </w:rPr>
        <w:t>；</w:t>
      </w:r>
      <w:r w:rsidRPr="007F0FAD">
        <w:rPr>
          <w:rFonts w:ascii="宋体" w:hAnsi="宋体" w:hint="eastAsia"/>
          <w:bCs/>
          <w:sz w:val="24"/>
          <w:szCs w:val="24"/>
        </w:rPr>
        <w:t>检测了</w:t>
      </w:r>
      <w:r w:rsidRPr="007F0FAD">
        <w:rPr>
          <w:rFonts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58</w:t>
      </w:r>
      <w:r>
        <w:rPr>
          <w:rFonts w:ascii="宋体" w:hAnsi="宋体" w:hint="eastAsia"/>
          <w:bCs/>
          <w:sz w:val="24"/>
          <w:szCs w:val="24"/>
        </w:rPr>
        <w:t>份成人尿</w:t>
      </w:r>
      <w:r w:rsidRPr="007F0FAD">
        <w:rPr>
          <w:rFonts w:ascii="宋体" w:hAnsi="宋体" w:hint="eastAsia"/>
          <w:bCs/>
          <w:sz w:val="24"/>
          <w:szCs w:val="24"/>
        </w:rPr>
        <w:t>样</w:t>
      </w:r>
      <w:r>
        <w:rPr>
          <w:rFonts w:ascii="宋体" w:hAnsi="宋体" w:hint="eastAsia"/>
          <w:bCs/>
          <w:sz w:val="24"/>
          <w:szCs w:val="24"/>
        </w:rPr>
        <w:t>，</w:t>
      </w:r>
      <w:r w:rsidRPr="007F0FAD">
        <w:rPr>
          <w:rFonts w:ascii="宋体" w:hAnsi="宋体" w:hint="eastAsia"/>
          <w:bCs/>
          <w:sz w:val="24"/>
          <w:szCs w:val="24"/>
        </w:rPr>
        <w:t>尿砷含量中位数为</w:t>
      </w:r>
      <w:r w:rsidRPr="007F0FAD">
        <w:rPr>
          <w:rFonts w:ascii="宋体"/>
          <w:bCs/>
          <w:sz w:val="24"/>
          <w:szCs w:val="24"/>
        </w:rPr>
        <w:t>0.0</w:t>
      </w:r>
      <w:r>
        <w:rPr>
          <w:rFonts w:ascii="宋体" w:hAnsi="宋体"/>
          <w:bCs/>
          <w:sz w:val="24"/>
          <w:szCs w:val="24"/>
        </w:rPr>
        <w:t>06</w:t>
      </w:r>
      <w:r w:rsidRPr="007F0FAD">
        <w:rPr>
          <w:rFonts w:ascii="宋体" w:hAnsi="宋体"/>
          <w:bCs/>
          <w:sz w:val="24"/>
          <w:szCs w:val="24"/>
        </w:rPr>
        <w:t>mg/L</w:t>
      </w:r>
      <w:r>
        <w:rPr>
          <w:rFonts w:ascii="宋体" w:hAnsi="宋体" w:hint="eastAsia"/>
          <w:bCs/>
          <w:sz w:val="24"/>
          <w:szCs w:val="24"/>
        </w:rPr>
        <w:t>，</w:t>
      </w:r>
      <w:r w:rsidRPr="00772FD6">
        <w:rPr>
          <w:rFonts w:ascii="宋体" w:hAnsi="宋体" w:hint="eastAsia"/>
          <w:bCs/>
          <w:sz w:val="24"/>
          <w:szCs w:val="24"/>
        </w:rPr>
        <w:t>较去年下降</w:t>
      </w:r>
      <w:r>
        <w:rPr>
          <w:rFonts w:ascii="宋体" w:hAnsi="宋体" w:hint="eastAsia"/>
          <w:bCs/>
          <w:sz w:val="24"/>
          <w:szCs w:val="24"/>
        </w:rPr>
        <w:t>了</w:t>
      </w:r>
      <w:r>
        <w:rPr>
          <w:rFonts w:ascii="宋体" w:hAnsi="宋体"/>
          <w:bCs/>
          <w:sz w:val="24"/>
          <w:szCs w:val="24"/>
        </w:rPr>
        <w:t>0.018</w:t>
      </w:r>
      <w:r w:rsidRPr="00AC70EE">
        <w:rPr>
          <w:rFonts w:ascii="宋体" w:hAnsi="宋体"/>
          <w:bCs/>
          <w:sz w:val="24"/>
          <w:szCs w:val="24"/>
        </w:rPr>
        <w:t xml:space="preserve"> </w:t>
      </w:r>
      <w:r w:rsidRPr="007F0FAD">
        <w:rPr>
          <w:rFonts w:ascii="宋体" w:hAnsi="宋体"/>
          <w:bCs/>
          <w:sz w:val="24"/>
          <w:szCs w:val="24"/>
        </w:rPr>
        <w:t>mg/L</w:t>
      </w:r>
      <w:r w:rsidRPr="00772FD6">
        <w:rPr>
          <w:rFonts w:ascii="宋体" w:hAnsi="宋体" w:hint="eastAsia"/>
          <w:bCs/>
          <w:sz w:val="24"/>
          <w:szCs w:val="24"/>
        </w:rPr>
        <w:t>。</w:t>
      </w:r>
      <w:r w:rsidRPr="007F0FAD">
        <w:rPr>
          <w:rFonts w:ascii="宋体" w:hAnsi="宋体" w:hint="eastAsia"/>
          <w:bCs/>
          <w:sz w:val="24"/>
          <w:szCs w:val="24"/>
        </w:rPr>
        <w:t>无新发病</w:t>
      </w:r>
      <w:r>
        <w:rPr>
          <w:rFonts w:ascii="宋体" w:hAnsi="宋体" w:hint="eastAsia"/>
          <w:bCs/>
          <w:sz w:val="24"/>
          <w:szCs w:val="24"/>
        </w:rPr>
        <w:t>砷中毒</w:t>
      </w:r>
      <w:r w:rsidRPr="007F0FAD">
        <w:rPr>
          <w:rFonts w:ascii="宋体" w:hAnsi="宋体" w:hint="eastAsia"/>
          <w:bCs/>
          <w:sz w:val="24"/>
          <w:szCs w:val="24"/>
        </w:rPr>
        <w:t>例</w:t>
      </w:r>
      <w:r>
        <w:rPr>
          <w:rFonts w:ascii="宋体" w:hAnsi="宋体" w:hint="eastAsia"/>
          <w:bCs/>
          <w:sz w:val="24"/>
          <w:szCs w:val="24"/>
        </w:rPr>
        <w:t>，</w:t>
      </w:r>
      <w:r w:rsidRPr="007F0FAD">
        <w:rPr>
          <w:rFonts w:ascii="宋体" w:hAnsi="宋体" w:hint="eastAsia"/>
          <w:bCs/>
          <w:sz w:val="24"/>
          <w:szCs w:val="24"/>
        </w:rPr>
        <w:t>无新增皮肤癌病例。</w:t>
      </w:r>
    </w:p>
    <w:p w:rsidR="00661240" w:rsidRPr="005563D2" w:rsidRDefault="00661240" w:rsidP="00AB3591">
      <w:pPr>
        <w:pStyle w:val="BodyTextIndent3"/>
        <w:adjustRightInd w:val="0"/>
        <w:snapToGrid w:val="0"/>
        <w:spacing w:after="0" w:line="360" w:lineRule="auto"/>
        <w:ind w:leftChars="0" w:left="0" w:firstLineChars="202" w:firstLine="31680"/>
        <w:rPr>
          <w:rFonts w:ascii="宋体"/>
          <w:b/>
          <w:bCs/>
          <w:sz w:val="24"/>
          <w:szCs w:val="24"/>
        </w:rPr>
      </w:pPr>
      <w:r w:rsidRPr="005563D2">
        <w:rPr>
          <w:rFonts w:ascii="宋体" w:hAnsi="宋体" w:hint="eastAsia"/>
          <w:b/>
          <w:bCs/>
          <w:sz w:val="24"/>
          <w:szCs w:val="24"/>
        </w:rPr>
        <w:t>四、</w:t>
      </w:r>
      <w:r>
        <w:rPr>
          <w:rFonts w:ascii="宋体" w:hAnsi="宋体" w:hint="eastAsia"/>
          <w:b/>
          <w:bCs/>
          <w:sz w:val="24"/>
          <w:szCs w:val="24"/>
        </w:rPr>
        <w:t>下一步防治工作建议</w:t>
      </w:r>
    </w:p>
    <w:p w:rsidR="00661240" w:rsidRDefault="00661240" w:rsidP="00AB3591">
      <w:pPr>
        <w:spacing w:line="360" w:lineRule="auto"/>
        <w:ind w:firstLineChars="200" w:firstLine="31680"/>
        <w:jc w:val="left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1.</w:t>
      </w:r>
      <w:r w:rsidRPr="004E377D">
        <w:rPr>
          <w:rFonts w:ascii="宋体" w:hAnsi="宋体" w:hint="eastAsia"/>
          <w:bCs/>
          <w:kern w:val="0"/>
          <w:sz w:val="24"/>
        </w:rPr>
        <w:t>继续加强对高砷煤矿的监测管理，防止已关闭的高砷煤矿重新被开采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661240" w:rsidRDefault="00661240" w:rsidP="00FA159B">
      <w:pPr>
        <w:spacing w:line="360" w:lineRule="auto"/>
        <w:ind w:firstLineChars="218" w:firstLine="31680"/>
      </w:pPr>
      <w:r>
        <w:rPr>
          <w:rFonts w:ascii="宋体" w:hAnsi="宋体"/>
          <w:bCs/>
          <w:sz w:val="24"/>
          <w:szCs w:val="24"/>
        </w:rPr>
        <w:t>2.</w:t>
      </w:r>
      <w:r w:rsidRPr="00F57C08">
        <w:rPr>
          <w:rFonts w:ascii="宋体" w:hAnsi="宋体" w:hint="eastAsia"/>
          <w:bCs/>
          <w:sz w:val="24"/>
          <w:szCs w:val="24"/>
        </w:rPr>
        <w:t>监测时</w:t>
      </w:r>
      <w:r>
        <w:rPr>
          <w:rFonts w:ascii="宋体" w:hAnsi="宋体" w:hint="eastAsia"/>
          <w:bCs/>
          <w:sz w:val="24"/>
          <w:szCs w:val="24"/>
        </w:rPr>
        <w:t>要</w:t>
      </w:r>
      <w:r w:rsidRPr="00F57C08">
        <w:rPr>
          <w:rFonts w:ascii="宋体" w:hAnsi="宋体" w:hint="eastAsia"/>
          <w:bCs/>
          <w:sz w:val="24"/>
          <w:szCs w:val="24"/>
        </w:rPr>
        <w:t>加强宣传动员工作</w:t>
      </w:r>
      <w:r w:rsidRPr="00F57C08">
        <w:rPr>
          <w:rFonts w:ascii="宋体"/>
          <w:bCs/>
          <w:sz w:val="24"/>
          <w:szCs w:val="24"/>
        </w:rPr>
        <w:t>,</w:t>
      </w:r>
      <w:r w:rsidRPr="00260E9A">
        <w:rPr>
          <w:rFonts w:ascii="宋体" w:hAnsi="宋体" w:hint="eastAsia"/>
          <w:sz w:val="24"/>
          <w:szCs w:val="24"/>
        </w:rPr>
        <w:t>提高暴露人群体检率，注意搜索新发病人并做好登记。</w:t>
      </w:r>
      <w:r w:rsidRPr="007F0FAD">
        <w:rPr>
          <w:rFonts w:ascii="宋体" w:hAnsi="宋体" w:hint="eastAsia"/>
          <w:bCs/>
          <w:sz w:val="24"/>
          <w:szCs w:val="24"/>
        </w:rPr>
        <w:t>坚持不懈地在病区普及燃煤污染型地方性砷中毒</w:t>
      </w:r>
      <w:r>
        <w:rPr>
          <w:rFonts w:ascii="宋体" w:hAnsi="宋体" w:hint="eastAsia"/>
          <w:bCs/>
          <w:sz w:val="24"/>
          <w:szCs w:val="24"/>
        </w:rPr>
        <w:t>的</w:t>
      </w:r>
      <w:r w:rsidRPr="007F0FAD">
        <w:rPr>
          <w:rFonts w:ascii="宋体" w:hAnsi="宋体" w:hint="eastAsia"/>
          <w:bCs/>
          <w:sz w:val="24"/>
          <w:szCs w:val="24"/>
        </w:rPr>
        <w:t>危害及防治知识，</w:t>
      </w:r>
      <w:r w:rsidRPr="007F0FAD">
        <w:rPr>
          <w:rFonts w:ascii="宋体" w:hAnsi="宋体" w:hint="eastAsia"/>
          <w:sz w:val="24"/>
          <w:szCs w:val="24"/>
        </w:rPr>
        <w:t>针对</w:t>
      </w:r>
      <w:r>
        <w:rPr>
          <w:rFonts w:ascii="宋体" w:hAnsi="宋体" w:hint="eastAsia"/>
          <w:sz w:val="24"/>
          <w:szCs w:val="24"/>
        </w:rPr>
        <w:t>存在的问题</w:t>
      </w:r>
      <w:r w:rsidRPr="007F0FAD">
        <w:rPr>
          <w:rFonts w:ascii="宋体" w:hAnsi="宋体" w:hint="eastAsia"/>
          <w:sz w:val="24"/>
          <w:szCs w:val="24"/>
        </w:rPr>
        <w:t>，如</w:t>
      </w:r>
      <w:r>
        <w:rPr>
          <w:rFonts w:ascii="宋体" w:hAnsi="宋体" w:hint="eastAsia"/>
          <w:sz w:val="24"/>
          <w:szCs w:val="24"/>
        </w:rPr>
        <w:t>高砷煤的私自采挖和储存、</w:t>
      </w:r>
      <w:r w:rsidRPr="007F0FAD">
        <w:rPr>
          <w:rFonts w:ascii="宋体" w:hAnsi="宋体" w:hint="eastAsia"/>
          <w:sz w:val="24"/>
          <w:szCs w:val="24"/>
        </w:rPr>
        <w:t>敞炉敞灶</w:t>
      </w:r>
      <w:r>
        <w:rPr>
          <w:rFonts w:ascii="宋体" w:hAnsi="宋体" w:hint="eastAsia"/>
          <w:sz w:val="24"/>
          <w:szCs w:val="24"/>
        </w:rPr>
        <w:t>烧</w:t>
      </w:r>
      <w:r w:rsidRPr="007F0FAD">
        <w:rPr>
          <w:rFonts w:ascii="宋体" w:hAnsi="宋体" w:hint="eastAsia"/>
          <w:sz w:val="24"/>
          <w:szCs w:val="24"/>
        </w:rPr>
        <w:t>煤行为</w:t>
      </w:r>
      <w:r>
        <w:rPr>
          <w:rFonts w:ascii="宋体" w:hAnsi="宋体" w:hint="eastAsia"/>
          <w:sz w:val="24"/>
          <w:szCs w:val="24"/>
        </w:rPr>
        <w:t>、改良炉灶损坏不能自主更换和维修等，采取有效的干预措施。</w:t>
      </w:r>
    </w:p>
    <w:sectPr w:rsidR="00661240" w:rsidSect="008F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40" w:rsidRDefault="00661240" w:rsidP="000A1E9D">
      <w:r>
        <w:separator/>
      </w:r>
    </w:p>
  </w:endnote>
  <w:endnote w:type="continuationSeparator" w:id="0">
    <w:p w:rsidR="00661240" w:rsidRDefault="00661240" w:rsidP="000A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40" w:rsidRDefault="00661240" w:rsidP="000A1E9D">
      <w:r>
        <w:separator/>
      </w:r>
    </w:p>
  </w:footnote>
  <w:footnote w:type="continuationSeparator" w:id="0">
    <w:p w:rsidR="00661240" w:rsidRDefault="00661240" w:rsidP="000A1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E9D"/>
    <w:rsid w:val="000A1E9D"/>
    <w:rsid w:val="000F43BA"/>
    <w:rsid w:val="001B6FCB"/>
    <w:rsid w:val="00260E9A"/>
    <w:rsid w:val="004E377D"/>
    <w:rsid w:val="005563D2"/>
    <w:rsid w:val="00585B96"/>
    <w:rsid w:val="005A7E2D"/>
    <w:rsid w:val="00612C04"/>
    <w:rsid w:val="00661240"/>
    <w:rsid w:val="00772FD6"/>
    <w:rsid w:val="007F0FAD"/>
    <w:rsid w:val="008C7427"/>
    <w:rsid w:val="008F1BC4"/>
    <w:rsid w:val="008F4951"/>
    <w:rsid w:val="009E7178"/>
    <w:rsid w:val="00A60EAE"/>
    <w:rsid w:val="00A85729"/>
    <w:rsid w:val="00AB3591"/>
    <w:rsid w:val="00AC70EE"/>
    <w:rsid w:val="00C11C27"/>
    <w:rsid w:val="00C91423"/>
    <w:rsid w:val="00D027E0"/>
    <w:rsid w:val="00D72792"/>
    <w:rsid w:val="00D7510E"/>
    <w:rsid w:val="00E36A4C"/>
    <w:rsid w:val="00F03CDD"/>
    <w:rsid w:val="00F57C08"/>
    <w:rsid w:val="00F94AF8"/>
    <w:rsid w:val="00FA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E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1E9D"/>
    <w:rPr>
      <w:rFonts w:cs="Times New Roman"/>
      <w:sz w:val="18"/>
      <w:szCs w:val="18"/>
    </w:rPr>
  </w:style>
  <w:style w:type="paragraph" w:customStyle="1" w:styleId="a">
    <w:name w:val="大标题"/>
    <w:basedOn w:val="Normal"/>
    <w:uiPriority w:val="99"/>
    <w:rsid w:val="000A1E9D"/>
    <w:pPr>
      <w:spacing w:line="560" w:lineRule="exact"/>
      <w:jc w:val="center"/>
    </w:pPr>
    <w:rPr>
      <w:rFonts w:ascii="黑体" w:eastAsia="黑体" w:hAnsi="Times New Roman" w:cs="宋体"/>
      <w:sz w:val="3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A1E9D"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A1E9D"/>
    <w:rPr>
      <w:rFonts w:ascii="Times New Roman" w:eastAsia="宋体" w:hAnsi="Times New Roman" w:cs="Times New Roman"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A1E9D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E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GB2312TimesNewRoman2">
    <w:name w:val="样式 样式 仿宋_GB2312 + Times New Roman 首行缩进:  2 字符"/>
    <w:basedOn w:val="Normal"/>
    <w:uiPriority w:val="99"/>
    <w:rsid w:val="000A1E9D"/>
    <w:pPr>
      <w:ind w:firstLineChars="200" w:firstLine="640"/>
    </w:pPr>
    <w:rPr>
      <w:rFonts w:ascii="Times New Roman" w:eastAsia="仿宋_GB2312" w:hAnsi="Times New Roman" w:cs="宋体"/>
      <w:sz w:val="3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12C04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2C04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257</Words>
  <Characters>1465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2017-04-25T01:35:00Z</dcterms:created>
  <dcterms:modified xsi:type="dcterms:W3CDTF">2017-05-24T11:32:00Z</dcterms:modified>
</cp:coreProperties>
</file>