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jc w:val="center"/>
        <w:rPr>
          <w:rFonts w:hint="eastAsia" w:eastAsia="宋体"/>
          <w:sz w:val="36"/>
          <w:szCs w:val="36"/>
          <w:lang w:eastAsia="zh-CN"/>
        </w:rPr>
      </w:pPr>
      <w:r>
        <w:rPr>
          <w:rFonts w:hint="eastAsia"/>
          <w:sz w:val="36"/>
          <w:szCs w:val="36"/>
        </w:rPr>
        <w:t>2021年度全国饮水型地方性砷中毒监测报告</w:t>
      </w:r>
      <w:r>
        <w:rPr>
          <w:rFonts w:hint="eastAsia"/>
          <w:sz w:val="36"/>
          <w:szCs w:val="36"/>
          <w:lang w:eastAsia="zh-CN"/>
        </w:rPr>
        <w:t>（</w:t>
      </w:r>
      <w:r>
        <w:rPr>
          <w:rFonts w:hint="eastAsia"/>
          <w:sz w:val="36"/>
          <w:szCs w:val="36"/>
          <w:lang w:val="en-US" w:eastAsia="zh-CN"/>
        </w:rPr>
        <w:t>摘要</w:t>
      </w:r>
      <w:r>
        <w:rPr>
          <w:rFonts w:hint="eastAsia"/>
          <w:sz w:val="36"/>
          <w:szCs w:val="36"/>
          <w:lang w:eastAsia="zh-CN"/>
        </w:rPr>
        <w:t>）</w:t>
      </w:r>
    </w:p>
    <w:p>
      <w:pPr>
        <w:pStyle w:val="9"/>
        <w:adjustRightInd w:val="0"/>
        <w:snapToGrid w:val="0"/>
        <w:spacing w:line="360" w:lineRule="auto"/>
        <w:ind w:firstLine="480"/>
        <w:rPr>
          <w:rFonts w:hAnsi="宋体"/>
          <w:bCs/>
          <w:color w:val="auto"/>
          <w:kern w:val="0"/>
          <w:sz w:val="24"/>
        </w:rPr>
      </w:pPr>
      <w:r>
        <w:rPr>
          <w:rFonts w:hint="eastAsia" w:hAnsi="宋体"/>
          <w:bCs/>
          <w:color w:val="auto"/>
          <w:kern w:val="0"/>
          <w:sz w:val="24"/>
        </w:rPr>
        <w:t>为了掌握全国饮水型砷中毒防治进展和现状，按照</w:t>
      </w:r>
      <w:r>
        <w:rPr>
          <w:rFonts w:hint="eastAsia" w:hAnsi="宋体"/>
          <w:bCs/>
          <w:sz w:val="24"/>
          <w:szCs w:val="24"/>
        </w:rPr>
        <w:t>国家印发</w:t>
      </w:r>
      <w:r>
        <w:rPr>
          <w:rFonts w:hint="eastAsia" w:hAnsi="宋体"/>
          <w:bCs/>
          <w:sz w:val="24"/>
          <w:szCs w:val="24"/>
          <w:lang w:val="en-US" w:eastAsia="zh-CN"/>
        </w:rPr>
        <w:t>的饮水型地方性砷中毒</w:t>
      </w:r>
      <w:r>
        <w:rPr>
          <w:rFonts w:hint="eastAsia" w:hAnsi="宋体"/>
          <w:bCs/>
          <w:sz w:val="24"/>
          <w:szCs w:val="24"/>
        </w:rPr>
        <w:t>监测方案</w:t>
      </w:r>
      <w:r>
        <w:rPr>
          <w:rFonts w:hint="eastAsia" w:hAnsi="宋体"/>
          <w:bCs/>
          <w:sz w:val="24"/>
          <w:szCs w:val="24"/>
          <w:lang w:eastAsia="zh-CN"/>
        </w:rPr>
        <w:t>（</w:t>
      </w:r>
      <w:r>
        <w:rPr>
          <w:rFonts w:hint="eastAsia" w:hAnsi="宋体"/>
          <w:bCs/>
          <w:sz w:val="24"/>
          <w:szCs w:val="24"/>
          <w:lang w:val="en-US" w:eastAsia="zh-CN"/>
        </w:rPr>
        <w:t>2019版</w:t>
      </w:r>
      <w:r>
        <w:rPr>
          <w:rFonts w:hint="eastAsia" w:hAnsi="宋体"/>
          <w:bCs/>
          <w:sz w:val="24"/>
          <w:szCs w:val="24"/>
          <w:lang w:eastAsia="zh-CN"/>
        </w:rPr>
        <w:t>）</w:t>
      </w:r>
      <w:r>
        <w:rPr>
          <w:rFonts w:hint="eastAsia" w:hAnsi="宋体"/>
          <w:bCs/>
          <w:color w:val="auto"/>
          <w:kern w:val="0"/>
          <w:sz w:val="24"/>
        </w:rPr>
        <w:t>的要求，全国14个省（自治区）于2021年3月至2021年10月组织开展了饮水型地方性砷中毒监测工作，现将结果报告如下。</w:t>
      </w:r>
    </w:p>
    <w:p>
      <w:pPr>
        <w:pStyle w:val="9"/>
        <w:adjustRightInd w:val="0"/>
        <w:snapToGrid w:val="0"/>
        <w:spacing w:line="360" w:lineRule="auto"/>
        <w:ind w:firstLine="482"/>
        <w:outlineLvl w:val="0"/>
        <w:rPr>
          <w:b/>
          <w:bCs/>
          <w:color w:val="auto"/>
          <w:sz w:val="24"/>
        </w:rPr>
      </w:pPr>
      <w:r>
        <w:rPr>
          <w:rFonts w:hAnsi="宋体"/>
          <w:b/>
          <w:bCs/>
          <w:color w:val="auto"/>
          <w:sz w:val="24"/>
        </w:rPr>
        <w:t>一、监测范围、内容及方法</w:t>
      </w:r>
    </w:p>
    <w:p>
      <w:pPr>
        <w:pStyle w:val="9"/>
        <w:adjustRightInd w:val="0"/>
        <w:snapToGrid w:val="0"/>
        <w:spacing w:line="360" w:lineRule="auto"/>
        <w:ind w:firstLine="480"/>
        <w:rPr>
          <w:rFonts w:hAnsi="宋体" w:eastAsia="宋体" w:cs="Times New Roman"/>
          <w:sz w:val="24"/>
          <w:szCs w:val="24"/>
        </w:rPr>
      </w:pPr>
      <w:r>
        <w:rPr>
          <w:rFonts w:hAnsi="宋体"/>
          <w:bCs/>
          <w:color w:val="auto"/>
          <w:sz w:val="24"/>
        </w:rPr>
        <w:t>山西、内蒙古、吉林、江苏、安徽、</w:t>
      </w:r>
      <w:r>
        <w:rPr>
          <w:rFonts w:hint="eastAsia" w:hAnsi="宋体"/>
          <w:bCs/>
          <w:color w:val="auto"/>
          <w:sz w:val="24"/>
        </w:rPr>
        <w:t>河南、</w:t>
      </w:r>
      <w:r>
        <w:rPr>
          <w:rFonts w:hAnsi="宋体"/>
          <w:bCs/>
          <w:color w:val="auto"/>
          <w:sz w:val="24"/>
        </w:rPr>
        <w:t>湖北、</w:t>
      </w:r>
      <w:r>
        <w:rPr>
          <w:rFonts w:hint="eastAsia" w:hAnsi="宋体"/>
          <w:bCs/>
          <w:color w:val="auto"/>
          <w:sz w:val="24"/>
        </w:rPr>
        <w:t>四川、</w:t>
      </w:r>
      <w:r>
        <w:rPr>
          <w:rFonts w:hAnsi="宋体"/>
          <w:bCs/>
          <w:color w:val="auto"/>
          <w:sz w:val="24"/>
        </w:rPr>
        <w:t>云南、甘肃、青海、宁夏、新疆等</w:t>
      </w:r>
      <w:bookmarkStart w:id="0" w:name="_Hlk41942895"/>
      <w:r>
        <w:rPr>
          <w:bCs/>
          <w:color w:val="auto"/>
          <w:sz w:val="24"/>
        </w:rPr>
        <w:t>14</w:t>
      </w:r>
      <w:r>
        <w:rPr>
          <w:rFonts w:hAnsi="宋体"/>
          <w:bCs/>
          <w:color w:val="auto"/>
          <w:sz w:val="24"/>
        </w:rPr>
        <w:t>个省</w:t>
      </w:r>
      <w:r>
        <w:rPr>
          <w:rFonts w:hint="eastAsia" w:hAnsi="宋体"/>
          <w:bCs/>
          <w:color w:val="auto"/>
          <w:kern w:val="0"/>
          <w:sz w:val="24"/>
        </w:rPr>
        <w:t>（自治区）</w:t>
      </w:r>
      <w:bookmarkEnd w:id="0"/>
      <w:r>
        <w:rPr>
          <w:rFonts w:hAnsi="宋体"/>
          <w:bCs/>
          <w:color w:val="auto"/>
          <w:sz w:val="24"/>
        </w:rPr>
        <w:t>的</w:t>
      </w:r>
      <w:r>
        <w:rPr>
          <w:rFonts w:hint="eastAsia" w:hAnsi="宋体"/>
          <w:bCs/>
          <w:color w:val="auto"/>
          <w:sz w:val="24"/>
        </w:rPr>
        <w:t>全部饮水型地方性</w:t>
      </w:r>
      <w:r>
        <w:rPr>
          <w:rFonts w:hAnsi="宋体"/>
          <w:bCs/>
          <w:color w:val="auto"/>
          <w:sz w:val="24"/>
        </w:rPr>
        <w:t>砷中毒病区</w:t>
      </w:r>
      <w:r>
        <w:rPr>
          <w:rFonts w:hint="eastAsia" w:hAnsi="宋体"/>
          <w:bCs/>
          <w:color w:val="auto"/>
          <w:sz w:val="24"/>
        </w:rPr>
        <w:t>村和高砷村。</w:t>
      </w:r>
      <w:r>
        <w:rPr>
          <w:rFonts w:hint="eastAsia" w:hAnsi="宋体" w:eastAsia="宋体" w:cs="Times New Roman"/>
          <w:sz w:val="24"/>
          <w:szCs w:val="24"/>
          <w:lang w:val="en-US" w:eastAsia="zh-CN"/>
        </w:rPr>
        <w:t>调查</w:t>
      </w:r>
      <w:r>
        <w:rPr>
          <w:rFonts w:hint="eastAsia" w:hAnsi="宋体" w:eastAsia="宋体" w:cs="Times New Roman"/>
          <w:sz w:val="24"/>
          <w:szCs w:val="24"/>
        </w:rPr>
        <w:t>病区村常住户数、常住人口数、历史（改水之前）水砷含量等。对监测村所有正在和（或）曾经暴露于高砷水的常住人口进行体检，体检率不低于95%，查找新发病例，调查原有病例的转归及变化情况。</w:t>
      </w:r>
    </w:p>
    <w:p>
      <w:pPr>
        <w:pStyle w:val="9"/>
        <w:adjustRightInd w:val="0"/>
        <w:snapToGrid w:val="0"/>
        <w:spacing w:line="360" w:lineRule="auto"/>
        <w:ind w:firstLine="482"/>
        <w:outlineLvl w:val="0"/>
        <w:rPr>
          <w:b/>
          <w:bCs/>
          <w:color w:val="auto"/>
          <w:sz w:val="24"/>
        </w:rPr>
      </w:pPr>
      <w:r>
        <w:rPr>
          <w:rFonts w:hAnsi="宋体"/>
          <w:b/>
          <w:bCs/>
          <w:color w:val="auto"/>
          <w:sz w:val="24"/>
        </w:rPr>
        <w:t>二、监测结果</w:t>
      </w:r>
    </w:p>
    <w:p>
      <w:pPr>
        <w:pStyle w:val="9"/>
        <w:adjustRightInd w:val="0"/>
        <w:snapToGrid w:val="0"/>
        <w:spacing w:line="360" w:lineRule="auto"/>
        <w:ind w:firstLine="361" w:firstLineChars="150"/>
        <w:outlineLvl w:val="0"/>
        <w:rPr>
          <w:rFonts w:hAnsi="宋体"/>
          <w:b/>
          <w:bCs/>
          <w:color w:val="auto"/>
          <w:sz w:val="24"/>
        </w:rPr>
      </w:pPr>
      <w:bookmarkStart w:id="1" w:name="_Hlk41952649"/>
      <w:r>
        <w:rPr>
          <w:rFonts w:hAnsi="宋体"/>
          <w:b/>
          <w:bCs/>
          <w:color w:val="auto"/>
          <w:sz w:val="24"/>
        </w:rPr>
        <w:t>（一）</w:t>
      </w:r>
      <w:r>
        <w:rPr>
          <w:rFonts w:hint="eastAsia" w:hAnsi="宋体"/>
          <w:b/>
          <w:bCs/>
          <w:color w:val="auto"/>
          <w:sz w:val="24"/>
        </w:rPr>
        <w:t>饮水型砷中毒监测村改水进度及水砷含量</w:t>
      </w:r>
    </w:p>
    <w:p>
      <w:pPr>
        <w:pStyle w:val="9"/>
        <w:adjustRightInd w:val="0"/>
        <w:snapToGrid w:val="0"/>
        <w:spacing w:line="360" w:lineRule="auto"/>
        <w:ind w:firstLine="480"/>
        <w:rPr>
          <w:rFonts w:hAnsi="宋体"/>
          <w:bCs/>
          <w:color w:val="auto"/>
          <w:sz w:val="24"/>
        </w:rPr>
      </w:pPr>
      <w:r>
        <w:rPr>
          <w:rFonts w:hint="eastAsia" w:hAnsi="宋体"/>
          <w:bCs/>
          <w:color w:val="auto"/>
          <w:sz w:val="24"/>
        </w:rPr>
        <w:t>1. 改水进度</w:t>
      </w:r>
    </w:p>
    <w:p>
      <w:pPr>
        <w:pStyle w:val="9"/>
        <w:adjustRightInd w:val="0"/>
        <w:snapToGrid w:val="0"/>
        <w:spacing w:line="360" w:lineRule="auto"/>
        <w:ind w:firstLine="480"/>
        <w:rPr>
          <w:color w:val="auto"/>
          <w:sz w:val="24"/>
        </w:rPr>
      </w:pPr>
      <w:r>
        <w:rPr>
          <w:rFonts w:hint="eastAsia" w:hAnsi="宋体"/>
          <w:bCs/>
          <w:color w:val="auto"/>
          <w:sz w:val="24"/>
        </w:rPr>
        <w:t>本年度1</w:t>
      </w:r>
      <w:r>
        <w:rPr>
          <w:rFonts w:hAnsi="宋体"/>
          <w:bCs/>
          <w:color w:val="auto"/>
          <w:sz w:val="24"/>
        </w:rPr>
        <w:t>4</w:t>
      </w:r>
      <w:r>
        <w:rPr>
          <w:rFonts w:hint="eastAsia" w:hAnsi="宋体"/>
          <w:bCs/>
          <w:color w:val="auto"/>
          <w:sz w:val="24"/>
        </w:rPr>
        <w:t>个省（自治区）共监测120个县，覆盖了2553个自然村，有常住户数42.96万户，常住人口149.36万人。已改水村2549个，占监测村数的99.84</w:t>
      </w:r>
      <w:r>
        <w:rPr>
          <w:rFonts w:hAnsi="宋体"/>
          <w:bCs/>
          <w:color w:val="auto"/>
          <w:sz w:val="24"/>
        </w:rPr>
        <w:t>%</w:t>
      </w:r>
      <w:r>
        <w:rPr>
          <w:rFonts w:hint="eastAsia" w:hAnsi="宋体"/>
          <w:bCs/>
          <w:color w:val="auto"/>
          <w:sz w:val="24"/>
        </w:rPr>
        <w:t>；未改水村4个，占监测村数的0.16</w:t>
      </w:r>
      <w:r>
        <w:rPr>
          <w:rFonts w:hAnsi="宋体"/>
          <w:bCs/>
          <w:color w:val="auto"/>
          <w:sz w:val="24"/>
        </w:rPr>
        <w:t>%</w:t>
      </w:r>
      <w:r>
        <w:rPr>
          <w:rFonts w:hint="eastAsia" w:hAnsi="宋体"/>
          <w:bCs/>
          <w:color w:val="auto"/>
          <w:sz w:val="24"/>
        </w:rPr>
        <w:t>。除内蒙古改水率99.66%外，其他各省（自治区）均已达到100%。</w:t>
      </w:r>
    </w:p>
    <w:p>
      <w:pPr>
        <w:pStyle w:val="9"/>
        <w:numPr>
          <w:ilvl w:val="0"/>
          <w:numId w:val="1"/>
        </w:numPr>
        <w:adjustRightInd w:val="0"/>
        <w:snapToGrid w:val="0"/>
        <w:spacing w:line="360" w:lineRule="auto"/>
        <w:ind w:firstLine="480"/>
        <w:rPr>
          <w:rFonts w:hAnsi="宋体"/>
          <w:bCs/>
          <w:color w:val="auto"/>
          <w:sz w:val="24"/>
        </w:rPr>
      </w:pPr>
      <w:r>
        <w:rPr>
          <w:rFonts w:hint="eastAsia" w:hAnsi="宋体"/>
          <w:bCs/>
          <w:color w:val="auto"/>
          <w:sz w:val="24"/>
        </w:rPr>
        <w:t>改水工程运转情况</w:t>
      </w:r>
    </w:p>
    <w:p>
      <w:pPr>
        <w:pStyle w:val="9"/>
        <w:adjustRightInd w:val="0"/>
        <w:snapToGrid w:val="0"/>
        <w:spacing w:line="360" w:lineRule="auto"/>
        <w:ind w:firstLine="480"/>
        <w:rPr>
          <w:color w:val="auto"/>
          <w:sz w:val="24"/>
        </w:rPr>
      </w:pPr>
      <w:r>
        <w:rPr>
          <w:rFonts w:hint="eastAsia" w:hAnsi="宋体"/>
          <w:bCs/>
          <w:color w:val="auto"/>
          <w:sz w:val="24"/>
        </w:rPr>
        <w:t>在2549个改水村中，改水工程正常运转的村数2544个，占改水村的99.80％；改水工程间歇运转的村数3个，改水工程报废的村数2个。改水工程间歇运转的村分布于内蒙古（2个）和新疆（1个），改水工程报废的村分布于内蒙古（2个）。除内蒙古改水工程正常运转率99.66%和新疆99.74%外，其他各省（自治区）均达到100%。</w:t>
      </w:r>
    </w:p>
    <w:p>
      <w:pPr>
        <w:pStyle w:val="9"/>
        <w:numPr>
          <w:ilvl w:val="0"/>
          <w:numId w:val="1"/>
        </w:numPr>
        <w:adjustRightInd w:val="0"/>
        <w:snapToGrid w:val="0"/>
        <w:spacing w:line="360" w:lineRule="auto"/>
        <w:ind w:firstLine="480"/>
        <w:rPr>
          <w:rFonts w:hAnsi="宋体"/>
          <w:bCs/>
          <w:color w:val="auto"/>
          <w:sz w:val="24"/>
        </w:rPr>
      </w:pPr>
      <w:r>
        <w:rPr>
          <w:rFonts w:hint="eastAsia" w:hAnsi="宋体"/>
          <w:bCs/>
          <w:color w:val="auto"/>
          <w:sz w:val="24"/>
        </w:rPr>
        <w:t>水砷含量监测情况</w:t>
      </w:r>
    </w:p>
    <w:p>
      <w:pPr>
        <w:pStyle w:val="9"/>
        <w:adjustRightInd w:val="0"/>
        <w:snapToGrid w:val="0"/>
        <w:spacing w:line="360" w:lineRule="auto"/>
        <w:ind w:firstLine="480"/>
        <w:rPr>
          <w:rFonts w:hAnsi="宋体"/>
          <w:bCs/>
          <w:color w:val="auto"/>
          <w:sz w:val="24"/>
        </w:rPr>
      </w:pPr>
      <w:r>
        <w:rPr>
          <w:rFonts w:hAnsi="宋体"/>
          <w:bCs/>
          <w:color w:val="auto"/>
          <w:sz w:val="24"/>
        </w:rPr>
        <w:t>本年度共监测</w:t>
      </w:r>
      <w:r>
        <w:rPr>
          <w:rFonts w:hint="eastAsia" w:hAnsi="宋体"/>
          <w:bCs/>
          <w:color w:val="auto"/>
          <w:sz w:val="24"/>
        </w:rPr>
        <w:t>2549</w:t>
      </w:r>
      <w:r>
        <w:rPr>
          <w:rFonts w:hAnsi="宋体"/>
          <w:bCs/>
          <w:color w:val="auto"/>
          <w:sz w:val="24"/>
        </w:rPr>
        <w:t>个改水村，</w:t>
      </w:r>
      <w:r>
        <w:rPr>
          <w:rFonts w:hint="eastAsia" w:hAnsi="宋体"/>
          <w:bCs/>
          <w:color w:val="auto"/>
          <w:sz w:val="24"/>
        </w:rPr>
        <w:t>其中水砷含量合格的村数为2511个，合格率为98.51%。水砷超标的村分布于内蒙古（37个）和新疆（1个）。除内蒙古水砷合格率96.84%和新疆99.74%外，其他各省（自治区）均达到100%。</w:t>
      </w:r>
    </w:p>
    <w:p>
      <w:pPr>
        <w:spacing w:line="360" w:lineRule="auto"/>
        <w:ind w:firstLine="482" w:firstLineChars="200"/>
        <w:rPr>
          <w:rFonts w:hAnsi="宋体"/>
          <w:b/>
        </w:rPr>
      </w:pPr>
      <w:r>
        <w:rPr>
          <w:rFonts w:hint="eastAsia" w:hAnsi="宋体"/>
          <w:b/>
        </w:rPr>
        <w:t>（二）</w:t>
      </w:r>
      <w:r>
        <w:rPr>
          <w:rFonts w:hAnsi="宋体"/>
          <w:b/>
        </w:rPr>
        <w:t>未改水村水</w:t>
      </w:r>
      <w:r>
        <w:rPr>
          <w:rFonts w:hint="eastAsia" w:hAnsi="宋体"/>
          <w:b/>
        </w:rPr>
        <w:t>砷</w:t>
      </w:r>
      <w:r>
        <w:rPr>
          <w:rFonts w:hAnsi="宋体"/>
          <w:b/>
        </w:rPr>
        <w:t>含量</w:t>
      </w:r>
    </w:p>
    <w:p>
      <w:pPr>
        <w:pStyle w:val="9"/>
        <w:adjustRightInd w:val="0"/>
        <w:snapToGrid w:val="0"/>
        <w:spacing w:line="360" w:lineRule="auto"/>
        <w:ind w:firstLine="480"/>
        <w:rPr>
          <w:color w:val="auto"/>
          <w:sz w:val="24"/>
        </w:rPr>
      </w:pPr>
      <w:r>
        <w:rPr>
          <w:rFonts w:hAnsi="宋体"/>
          <w:bCs/>
          <w:color w:val="auto"/>
          <w:sz w:val="24"/>
        </w:rPr>
        <w:t>本年度共监测未改水村</w:t>
      </w:r>
      <w:r>
        <w:rPr>
          <w:rFonts w:hint="eastAsia" w:hAnsi="宋体"/>
          <w:bCs/>
          <w:color w:val="auto"/>
          <w:sz w:val="24"/>
        </w:rPr>
        <w:t>4</w:t>
      </w:r>
      <w:r>
        <w:rPr>
          <w:rFonts w:hAnsi="宋体"/>
          <w:bCs/>
          <w:color w:val="auto"/>
          <w:sz w:val="24"/>
        </w:rPr>
        <w:t>个</w:t>
      </w:r>
      <w:r>
        <w:rPr>
          <w:rFonts w:hint="eastAsia" w:hAnsi="宋体"/>
          <w:bCs/>
          <w:color w:val="auto"/>
          <w:sz w:val="24"/>
        </w:rPr>
        <w:t>，分布于内蒙古，涉及91户，检测水砷范围为0.001-0.042mg/L，水砷浓度≤0.01mg/L的户数为51户，水砷浓度&gt;0.01mg/L且≤0.05mg/L户数为40户，按照小型集中供水工程限值0.05mg/L统计，水砷合格率为100%。</w:t>
      </w:r>
    </w:p>
    <w:p>
      <w:pPr>
        <w:spacing w:line="360" w:lineRule="auto"/>
        <w:ind w:firstLine="472" w:firstLineChars="196"/>
        <w:rPr>
          <w:b/>
        </w:rPr>
      </w:pPr>
      <w:r>
        <w:rPr>
          <w:b/>
        </w:rPr>
        <w:t>（三）</w:t>
      </w:r>
      <w:r>
        <w:rPr>
          <w:rFonts w:hint="eastAsia"/>
          <w:b/>
        </w:rPr>
        <w:t>砷中毒</w:t>
      </w:r>
      <w:r>
        <w:rPr>
          <w:b/>
        </w:rPr>
        <w:t>病情监测结果</w:t>
      </w:r>
    </w:p>
    <w:p>
      <w:pPr>
        <w:spacing w:line="360" w:lineRule="auto"/>
        <w:ind w:firstLine="480" w:firstLineChars="200"/>
        <w:rPr>
          <w:rFonts w:hAnsi="宋体"/>
          <w:bCs/>
        </w:rPr>
      </w:pPr>
      <w:bookmarkStart w:id="2" w:name="_Hlk518046574"/>
      <w:bookmarkStart w:id="3" w:name="_Hlk41951284"/>
      <w:r>
        <w:rPr>
          <w:rFonts w:hint="eastAsia" w:hAnsi="宋体"/>
          <w:bCs/>
        </w:rPr>
        <w:t>本年度1</w:t>
      </w:r>
      <w:r>
        <w:rPr>
          <w:rFonts w:hAnsi="宋体"/>
          <w:bCs/>
        </w:rPr>
        <w:t>4</w:t>
      </w:r>
      <w:r>
        <w:rPr>
          <w:rFonts w:hint="eastAsia" w:hAnsi="宋体"/>
          <w:bCs/>
        </w:rPr>
        <w:t>个省（自治区）在2553个饮水型砷中毒病区村和高砷村进行了砷中毒病情调查，总检查人数896731人，检出病例总数4300人，检出率为0.48%。在现有病例中</w:t>
      </w:r>
      <w:r>
        <w:rPr>
          <w:rFonts w:hint="eastAsia" w:hAnsi="宋体"/>
          <w:bCs/>
          <w:lang w:eastAsia="zh-CN"/>
        </w:rPr>
        <w:t>，</w:t>
      </w:r>
      <w:r>
        <w:rPr>
          <w:rFonts w:hint="eastAsia" w:hAnsi="宋体"/>
          <w:bCs/>
        </w:rPr>
        <w:t>轻度病例3628例，占病例总数84.37%；中度病例549例，占病例总数12.77%；重度病例118例，占病例总数2.74%；皮肤癌患者5例，其中内蒙古4例、云南1例。</w:t>
      </w:r>
      <w:bookmarkStart w:id="4" w:name="_Hlk518489947"/>
      <w:r>
        <w:rPr>
          <w:rFonts w:hint="eastAsia" w:hAnsi="宋体"/>
          <w:bCs/>
        </w:rPr>
        <w:t>未发现饮水型砷中毒新发病例</w:t>
      </w:r>
      <w:r>
        <w:rPr>
          <w:rFonts w:hint="eastAsia" w:hAnsi="宋体"/>
          <w:bCs/>
          <w:lang w:eastAsia="zh-CN"/>
        </w:rPr>
        <w:t>，</w:t>
      </w:r>
      <w:r>
        <w:rPr>
          <w:rFonts w:hint="eastAsia" w:hAnsi="宋体"/>
          <w:bCs/>
          <w:lang w:val="en-US" w:eastAsia="zh-CN"/>
        </w:rPr>
        <w:t>内蒙古新增3例皮肤癌患者</w:t>
      </w:r>
      <w:r>
        <w:rPr>
          <w:rFonts w:hint="eastAsia" w:hAnsi="宋体"/>
          <w:bCs/>
        </w:rPr>
        <w:t>。</w:t>
      </w:r>
      <w:r>
        <w:rPr>
          <w:rFonts w:hint="eastAsia" w:hAnsi="宋体"/>
          <w:bCs/>
          <w:lang w:val="en-US" w:eastAsia="zh-CN"/>
        </w:rPr>
        <w:t>全国</w:t>
      </w:r>
      <w:r>
        <w:rPr>
          <w:rFonts w:hint="eastAsia" w:hAnsi="宋体"/>
          <w:bCs/>
        </w:rPr>
        <w:t>另有</w:t>
      </w:r>
      <w:r>
        <w:rPr>
          <w:rFonts w:hint="eastAsia" w:hAnsi="宋体"/>
          <w:bCs/>
          <w:lang w:val="en-US" w:eastAsia="zh-CN"/>
        </w:rPr>
        <w:t>地方性砷中毒</w:t>
      </w:r>
      <w:r>
        <w:rPr>
          <w:rFonts w:hint="eastAsia" w:hAnsi="宋体"/>
          <w:bCs/>
        </w:rPr>
        <w:t>可疑</w:t>
      </w:r>
      <w:r>
        <w:rPr>
          <w:rFonts w:hint="eastAsia" w:hAnsi="宋体"/>
          <w:bCs/>
          <w:lang w:val="en-US" w:eastAsia="zh-CN"/>
        </w:rPr>
        <w:t>患者</w:t>
      </w:r>
      <w:r>
        <w:rPr>
          <w:rFonts w:hint="eastAsia" w:hAnsi="宋体"/>
          <w:bCs/>
        </w:rPr>
        <w:t>177例。在各省份中，内蒙古和山西病例较多，分别为1944人和1112人，江苏省仅检出可疑病例，河南省未检出病例。</w:t>
      </w:r>
    </w:p>
    <w:p>
      <w:pPr>
        <w:spacing w:line="360" w:lineRule="auto"/>
        <w:ind w:firstLine="472" w:firstLineChars="196"/>
        <w:rPr>
          <w:rFonts w:ascii="宋体" w:hAnsi="宋体"/>
          <w:b/>
        </w:rPr>
      </w:pPr>
      <w:r>
        <w:rPr>
          <w:rFonts w:hint="eastAsia" w:ascii="宋体" w:hAnsi="宋体"/>
          <w:b/>
        </w:rPr>
        <w:t>（四）控制评价结果</w:t>
      </w:r>
    </w:p>
    <w:p>
      <w:pPr>
        <w:spacing w:line="360" w:lineRule="auto"/>
        <w:ind w:firstLine="470" w:firstLineChars="196"/>
      </w:pPr>
      <w:r>
        <w:t>截止202</w:t>
      </w:r>
      <w:r>
        <w:rPr>
          <w:rFonts w:hint="eastAsia"/>
        </w:rPr>
        <w:t>1</w:t>
      </w:r>
      <w:r>
        <w:t>年</w:t>
      </w:r>
      <w:r>
        <w:rPr>
          <w:rFonts w:hint="eastAsia"/>
        </w:rPr>
        <w:t>底</w:t>
      </w:r>
      <w:r>
        <w:t>，</w:t>
      </w:r>
      <w:r>
        <w:rPr>
          <w:rFonts w:hint="eastAsia"/>
        </w:rPr>
        <w:t>全国14个省（自治区）共监测了120个饮水型砷中毒病区县，根据饮水型砷中毒消除评价内容和判定标准，119个饮水型砷中毒病区县达到消除标准，消除率为99.17%，仅有内蒙古1个县（杭锦后旗）尚未达到消除标准。以病区村为单位评判，尚有内蒙古的37个病区村</w:t>
      </w:r>
      <w:r>
        <w:rPr>
          <w:rFonts w:hint="eastAsia"/>
          <w:lang w:eastAsia="zh-CN"/>
        </w:rPr>
        <w:t>和</w:t>
      </w:r>
      <w:r>
        <w:rPr>
          <w:rFonts w:hint="eastAsia"/>
        </w:rPr>
        <w:t>新疆的1个病区村未达到消除标准。</w:t>
      </w:r>
    </w:p>
    <w:p>
      <w:pPr>
        <w:numPr>
          <w:ilvl w:val="0"/>
          <w:numId w:val="2"/>
        </w:numPr>
        <w:spacing w:line="360" w:lineRule="auto"/>
        <w:ind w:firstLine="472" w:firstLineChars="196"/>
        <w:rPr>
          <w:b/>
          <w:bCs/>
        </w:rPr>
      </w:pPr>
      <w:r>
        <w:rPr>
          <w:rFonts w:hint="eastAsia"/>
          <w:b/>
          <w:bCs/>
        </w:rPr>
        <w:t>主要结论</w:t>
      </w:r>
    </w:p>
    <w:p>
      <w:pPr>
        <w:pStyle w:val="9"/>
        <w:numPr>
          <w:ilvl w:val="0"/>
          <w:numId w:val="3"/>
        </w:numPr>
        <w:adjustRightInd w:val="0"/>
        <w:snapToGrid w:val="0"/>
        <w:spacing w:line="360" w:lineRule="auto"/>
        <w:ind w:firstLine="480"/>
        <w:rPr>
          <w:color w:val="auto"/>
          <w:sz w:val="24"/>
        </w:rPr>
      </w:pPr>
      <w:r>
        <w:rPr>
          <w:rFonts w:hint="eastAsia"/>
          <w:color w:val="auto"/>
          <w:sz w:val="24"/>
        </w:rPr>
        <w:t>本年度在14个省（自治区）共监测120个饮水型地方性砷中毒县，覆盖2553个自然村，改水率为99.84%（2549/2553），改水工程正常运转率为99.80％（2544/2549），水砷含量合格率98.51%（2511/2549）。</w:t>
      </w:r>
      <w:r>
        <w:rPr>
          <w:rFonts w:hint="eastAsia"/>
          <w:color w:val="auto"/>
          <w:sz w:val="24"/>
          <w:lang w:eastAsia="zh-CN"/>
        </w:rPr>
        <w:t>共监测</w:t>
      </w:r>
      <w:r>
        <w:rPr>
          <w:rFonts w:hint="eastAsia"/>
          <w:color w:val="auto"/>
          <w:sz w:val="24"/>
        </w:rPr>
        <w:t>未改水</w:t>
      </w:r>
      <w:r>
        <w:rPr>
          <w:rFonts w:hint="eastAsia"/>
          <w:color w:val="auto"/>
          <w:sz w:val="24"/>
          <w:lang w:val="en-US" w:eastAsia="zh-CN"/>
        </w:rPr>
        <w:t>的历史病区</w:t>
      </w:r>
      <w:r>
        <w:rPr>
          <w:rFonts w:hint="eastAsia"/>
          <w:color w:val="auto"/>
          <w:sz w:val="24"/>
        </w:rPr>
        <w:t>村4个，涉及91户，按照小型集中供水工程限值0.05mg/L统计，水砷合格率为100%。</w:t>
      </w:r>
    </w:p>
    <w:p>
      <w:pPr>
        <w:pStyle w:val="9"/>
        <w:numPr>
          <w:ilvl w:val="0"/>
          <w:numId w:val="3"/>
        </w:numPr>
        <w:adjustRightInd w:val="0"/>
        <w:snapToGrid w:val="0"/>
        <w:spacing w:line="360" w:lineRule="auto"/>
        <w:ind w:firstLine="480"/>
        <w:rPr>
          <w:color w:val="auto"/>
          <w:sz w:val="24"/>
        </w:rPr>
      </w:pPr>
      <w:r>
        <w:rPr>
          <w:rFonts w:hint="eastAsia"/>
          <w:color w:val="auto"/>
          <w:sz w:val="24"/>
        </w:rPr>
        <w:t>在2553个饮水型砷中毒病区村和高砷村，检查了896731人的砷中毒病情，检出病例总数4300人，检出率为0.48%。未发现饮水型砷中毒新发病例。</w:t>
      </w:r>
    </w:p>
    <w:p>
      <w:pPr>
        <w:pStyle w:val="9"/>
        <w:numPr>
          <w:ilvl w:val="0"/>
          <w:numId w:val="3"/>
        </w:numPr>
        <w:adjustRightInd w:val="0"/>
        <w:snapToGrid w:val="0"/>
        <w:spacing w:line="360" w:lineRule="auto"/>
        <w:ind w:firstLine="480"/>
        <w:rPr>
          <w:color w:val="auto"/>
          <w:sz w:val="24"/>
        </w:rPr>
      </w:pPr>
      <w:r>
        <w:rPr>
          <w:rFonts w:hint="eastAsia"/>
          <w:color w:val="auto"/>
          <w:sz w:val="24"/>
          <w:lang w:eastAsia="zh-CN"/>
        </w:rPr>
        <w:t>在</w:t>
      </w:r>
      <w:r>
        <w:rPr>
          <w:rFonts w:hint="eastAsia"/>
          <w:color w:val="auto"/>
          <w:sz w:val="24"/>
        </w:rPr>
        <w:t>120个饮水型砷中毒病区县中，有119个达到消除标准，消除率为99.71%。</w:t>
      </w:r>
    </w:p>
    <w:p>
      <w:pPr>
        <w:pStyle w:val="31"/>
        <w:spacing w:line="360" w:lineRule="auto"/>
        <w:ind w:firstLine="482"/>
        <w:rPr>
          <w:rFonts w:hAnsi="宋体" w:eastAsia="宋体" w:cs="Times New Roman"/>
          <w:b/>
          <w:sz w:val="24"/>
          <w:szCs w:val="24"/>
        </w:rPr>
      </w:pPr>
      <w:r>
        <w:rPr>
          <w:rFonts w:hint="eastAsia" w:hAnsi="宋体" w:eastAsia="宋体" w:cs="Times New Roman"/>
          <w:b/>
          <w:sz w:val="24"/>
          <w:szCs w:val="24"/>
          <w:lang w:val="en-US" w:eastAsia="zh-CN"/>
        </w:rPr>
        <w:t>四</w:t>
      </w:r>
      <w:r>
        <w:rPr>
          <w:rFonts w:hAnsi="宋体" w:eastAsia="宋体" w:cs="Times New Roman"/>
          <w:b/>
          <w:sz w:val="24"/>
          <w:szCs w:val="24"/>
        </w:rPr>
        <w:t>、</w:t>
      </w:r>
      <w:r>
        <w:rPr>
          <w:rFonts w:hint="eastAsia" w:hAnsi="宋体" w:eastAsia="宋体" w:cs="Times New Roman"/>
          <w:b/>
          <w:sz w:val="24"/>
          <w:szCs w:val="24"/>
        </w:rPr>
        <w:t>下一步工作建议</w:t>
      </w:r>
    </w:p>
    <w:p>
      <w:pPr>
        <w:pStyle w:val="31"/>
        <w:spacing w:line="360" w:lineRule="auto"/>
        <w:ind w:firstLine="482"/>
        <w:rPr>
          <w:rFonts w:hint="eastAsia" w:hAnsi="宋体" w:eastAsia="宋体" w:cs="Times New Roman"/>
          <w:b/>
          <w:sz w:val="24"/>
          <w:szCs w:val="24"/>
          <w:lang w:eastAsia="zh-CN"/>
        </w:rPr>
      </w:pPr>
      <w:r>
        <w:rPr>
          <w:rFonts w:hint="eastAsia" w:hAnsi="宋体" w:eastAsia="宋体" w:cs="Times New Roman"/>
          <w:b/>
          <w:sz w:val="24"/>
          <w:szCs w:val="24"/>
        </w:rPr>
        <w:t>（一）防治成果显著，但部分监测点存在水砷反弹现象</w:t>
      </w:r>
      <w:r>
        <w:rPr>
          <w:rFonts w:hint="eastAsia" w:hAnsi="宋体" w:eastAsia="宋体" w:cs="Times New Roman"/>
          <w:b/>
          <w:sz w:val="24"/>
          <w:szCs w:val="24"/>
          <w:lang w:eastAsia="zh-CN"/>
        </w:rPr>
        <w:t>，值得当地重视解决</w:t>
      </w:r>
    </w:p>
    <w:p>
      <w:pPr>
        <w:spacing w:line="360" w:lineRule="auto"/>
        <w:ind w:firstLine="480" w:firstLineChars="200"/>
      </w:pPr>
      <w:r>
        <w:rPr>
          <w:rFonts w:hint="eastAsia"/>
        </w:rPr>
        <w:t>2021年是饮水型砷中毒监测全覆盖的第三年，监测的覆盖范围和基本情况与上一年基本保持一致，</w:t>
      </w:r>
      <w:r>
        <w:rPr>
          <w:rFonts w:hint="eastAsia"/>
          <w:bCs/>
        </w:rPr>
        <w:t>改水降砷工作成果显著。</w:t>
      </w:r>
      <w:r>
        <w:rPr>
          <w:rFonts w:hint="eastAsia"/>
        </w:rPr>
        <w:t>全国饮水型砷中毒病区村改水率达到99.84%，高于上一年度（99.18%），除内蒙古</w:t>
      </w:r>
      <w:r>
        <w:rPr>
          <w:rFonts w:hint="eastAsia"/>
          <w:lang w:eastAsia="zh-CN"/>
        </w:rPr>
        <w:t>病区</w:t>
      </w:r>
      <w:r>
        <w:rPr>
          <w:rFonts w:hint="eastAsia"/>
        </w:rPr>
        <w:t>外均已完成改水</w:t>
      </w:r>
      <w:r>
        <w:rPr>
          <w:rFonts w:hint="eastAsia"/>
          <w:lang w:eastAsia="zh-CN"/>
        </w:rPr>
        <w:t>工作</w:t>
      </w:r>
      <w:r>
        <w:rPr>
          <w:rFonts w:hint="eastAsia"/>
        </w:rPr>
        <w:t>。在上一年度中，内蒙古有21个未改水村，今年仅剩4个村尚未实现改水，经逐户检测，水砷范围为0.001-0.042mg/L，均小于0.05mg/L。改水工程正常运转率较上一年度（99.53%）有所提升，达到99.80%，仅有内蒙古和新疆尚存在间歇运转或报废的改水工程。</w:t>
      </w:r>
      <w:r>
        <w:rPr>
          <w:rFonts w:hint="eastAsia"/>
          <w:bCs/>
        </w:rPr>
        <w:t>本年度全覆盖监测结果显示，在病区县水平，全国饮水型砷中毒消除率达到99.17%，以病区村为单位，尚存在38个未消除村。</w:t>
      </w:r>
    </w:p>
    <w:p>
      <w:pPr>
        <w:spacing w:line="360" w:lineRule="auto"/>
        <w:ind w:firstLine="480" w:firstLineChars="200"/>
      </w:pPr>
      <w:r>
        <w:rPr>
          <w:rFonts w:hint="eastAsia"/>
        </w:rPr>
        <w:t>在上一年度中，改水工程水砷超标的情况仅存在于内蒙古2个村和新疆1个村，在本年度中内蒙古37个村以及新疆1个村水砷超标，水砷合格率由上一年度的99.88%，下降到98.51%。其中最主要的原因是内蒙古的两个饮水工程水砷含量出现反弹，其中1个为大型改水工程，水砷含量0.017mg/L，覆盖36个病区村，其原因可能为地下水位变化或工程后期维护不到位</w:t>
      </w:r>
      <w:r>
        <w:rPr>
          <w:rFonts w:hint="eastAsia"/>
          <w:lang w:eastAsia="zh-CN"/>
        </w:rPr>
        <w:t>，</w:t>
      </w:r>
      <w:r>
        <w:rPr>
          <w:rFonts w:hint="eastAsia"/>
        </w:rPr>
        <w:t>这为改水工程的长期维护工作敲响警钟。新疆</w:t>
      </w:r>
      <w:r>
        <w:t>乌苏市甘家湖牧场加拉哈西村改水工程，水砷超标严重（0.135mg/L），虽供水范围较小（覆盖人口475人），但</w:t>
      </w:r>
      <w:r>
        <w:rPr>
          <w:rFonts w:hint="eastAsia"/>
          <w:lang w:eastAsia="zh-CN"/>
        </w:rPr>
        <w:t>风险</w:t>
      </w:r>
      <w:r>
        <w:t>不容忽视。</w:t>
      </w:r>
      <w:r>
        <w:rPr>
          <w:rFonts w:hint="eastAsia"/>
          <w:bCs/>
          <w:lang w:eastAsia="zh-CN"/>
        </w:rPr>
        <w:t>内蒙古、新疆</w:t>
      </w:r>
      <w:r>
        <w:rPr>
          <w:rFonts w:hint="eastAsia"/>
          <w:bCs/>
        </w:rPr>
        <w:t>应重视将存在问题的降砷改水工程纳入农村饮水安全工程巩固提升规划，</w:t>
      </w:r>
      <w:r>
        <w:rPr>
          <w:rFonts w:hint="eastAsia"/>
          <w:lang w:eastAsia="zh-CN"/>
        </w:rPr>
        <w:t>及时解决水砷反弹情况。</w:t>
      </w:r>
      <w:r>
        <w:rPr>
          <w:rFonts w:hint="eastAsia"/>
          <w:lang w:val="en-US" w:eastAsia="zh-CN"/>
        </w:rPr>
        <w:t>各</w:t>
      </w:r>
      <w:r>
        <w:rPr>
          <w:rFonts w:hint="eastAsia"/>
          <w:lang w:eastAsia="zh-CN"/>
        </w:rPr>
        <w:t>省份</w:t>
      </w:r>
      <w:r>
        <w:rPr>
          <w:rFonts w:hint="eastAsia"/>
        </w:rPr>
        <w:t>对</w:t>
      </w:r>
      <w:r>
        <w:rPr>
          <w:rFonts w:hint="eastAsia"/>
          <w:bCs/>
        </w:rPr>
        <w:t>于已经建设完成的改水工程，相关部门应持续性做好工程管理、维护以及水质监测等工作，发现水砷反弹现象要及时采取措施，持续巩固防治成果。</w:t>
      </w:r>
    </w:p>
    <w:p>
      <w:pPr>
        <w:spacing w:line="360" w:lineRule="auto"/>
        <w:ind w:firstLine="482" w:firstLineChars="200"/>
        <w:rPr>
          <w:rFonts w:hint="eastAsia" w:eastAsia="宋体"/>
          <w:b/>
          <w:bCs/>
          <w:lang w:eastAsia="zh-CN"/>
        </w:rPr>
      </w:pPr>
      <w:r>
        <w:rPr>
          <w:rFonts w:hint="eastAsia"/>
          <w:b/>
          <w:bCs/>
        </w:rPr>
        <w:t>（二）</w:t>
      </w:r>
      <w:r>
        <w:rPr>
          <w:rFonts w:hint="eastAsia"/>
          <w:b/>
          <w:bCs/>
          <w:lang w:eastAsia="zh-CN"/>
        </w:rPr>
        <w:t>尽快落实</w:t>
      </w:r>
      <w:r>
        <w:rPr>
          <w:rFonts w:hint="eastAsia"/>
          <w:b/>
          <w:bCs/>
        </w:rPr>
        <w:t>未改水村的</w:t>
      </w:r>
      <w:r>
        <w:rPr>
          <w:rFonts w:hint="eastAsia"/>
          <w:b/>
          <w:bCs/>
          <w:lang w:eastAsia="zh-CN"/>
        </w:rPr>
        <w:t>防治措施</w:t>
      </w:r>
    </w:p>
    <w:p>
      <w:pPr>
        <w:spacing w:line="360" w:lineRule="auto"/>
        <w:ind w:firstLine="480" w:firstLineChars="200"/>
        <w:outlineLvl w:val="0"/>
        <w:rPr>
          <w:bCs/>
        </w:rPr>
      </w:pPr>
      <w:r>
        <w:rPr>
          <w:rFonts w:hint="eastAsia"/>
        </w:rPr>
        <w:t>内蒙古自治区仍存在未改水村，这些村在病区认定时期曾存在水砷含量超标现象，但由于地处牧区，每户间隔较远等原因，未能及时落实改水工作。经过多年自然环境变化，水砷含量自然下降，本年度的监测数据显示，4个未改水村的水砷含量均未超标，但仍存在40户水砷浓度&gt;0.01mg/L且≤0.05mg/L的情况。这些村是否在有条件的情况下尽快实现改水，需要开展进一步的论证。</w:t>
      </w:r>
    </w:p>
    <w:p>
      <w:pPr>
        <w:pStyle w:val="31"/>
        <w:spacing w:line="360" w:lineRule="auto"/>
        <w:ind w:firstLine="482"/>
        <w:rPr>
          <w:rFonts w:hint="eastAsia" w:hAnsi="宋体" w:eastAsia="宋体" w:cs="Times New Roman"/>
          <w:b/>
          <w:sz w:val="24"/>
          <w:szCs w:val="24"/>
          <w:lang w:eastAsia="zh-CN"/>
        </w:rPr>
      </w:pPr>
      <w:r>
        <w:rPr>
          <w:rFonts w:hint="eastAsia" w:hAnsi="宋体" w:eastAsia="宋体" w:cs="Times New Roman"/>
          <w:b/>
          <w:sz w:val="24"/>
          <w:szCs w:val="24"/>
        </w:rPr>
        <w:t>（三）</w:t>
      </w:r>
      <w:r>
        <w:rPr>
          <w:rFonts w:hint="eastAsia" w:hAnsi="宋体" w:eastAsia="宋体" w:cs="Times New Roman"/>
          <w:b/>
          <w:sz w:val="24"/>
          <w:szCs w:val="24"/>
          <w:lang w:eastAsia="zh-CN"/>
        </w:rPr>
        <w:t>按新的</w:t>
      </w:r>
      <w:r>
        <w:rPr>
          <w:rFonts w:hint="eastAsia" w:hAnsi="宋体" w:eastAsia="宋体" w:cs="Times New Roman"/>
          <w:b/>
          <w:sz w:val="24"/>
          <w:szCs w:val="24"/>
        </w:rPr>
        <w:t>生活饮用水卫生标准砷含量限值</w:t>
      </w:r>
      <w:r>
        <w:rPr>
          <w:rFonts w:hint="eastAsia" w:hAnsi="宋体" w:eastAsia="宋体" w:cs="Times New Roman"/>
          <w:b/>
          <w:sz w:val="24"/>
          <w:szCs w:val="24"/>
          <w:lang w:eastAsia="zh-CN"/>
        </w:rPr>
        <w:t>要求重新</w:t>
      </w:r>
      <w:r>
        <w:rPr>
          <w:rFonts w:hint="eastAsia" w:hAnsi="宋体" w:eastAsia="宋体" w:cs="Times New Roman"/>
          <w:b/>
          <w:sz w:val="24"/>
          <w:szCs w:val="24"/>
          <w:lang w:val="en-US" w:eastAsia="zh-CN"/>
        </w:rPr>
        <w:t>判</w:t>
      </w:r>
      <w:r>
        <w:rPr>
          <w:rFonts w:hint="eastAsia" w:hAnsi="宋体" w:eastAsia="宋体" w:cs="Times New Roman"/>
          <w:b/>
          <w:sz w:val="24"/>
          <w:szCs w:val="24"/>
          <w:lang w:eastAsia="zh-CN"/>
        </w:rPr>
        <w:t>定病区且落实防治措施</w:t>
      </w:r>
    </w:p>
    <w:p>
      <w:pPr>
        <w:spacing w:line="360" w:lineRule="auto"/>
        <w:ind w:firstLine="480" w:firstLineChars="200"/>
        <w:rPr>
          <w:bCs/>
        </w:rPr>
      </w:pPr>
      <w:r>
        <w:rPr>
          <w:rFonts w:hint="eastAsia"/>
        </w:rPr>
        <w:t>GB 5749-2022《生活饮用水卫生标准》于2022年3月15日经国家市场监督管理总局（国家标准化管理委员会）批准发布，代替GB 5749-2006《生活饮用水卫生标准》，自2023年4月1日</w:t>
      </w:r>
      <w:r>
        <w:rPr>
          <w:rFonts w:hint="eastAsia"/>
          <w:highlight w:val="none"/>
        </w:rPr>
        <w:t>起实施。该文件中将生活饮用水水砷含量的限值统一规定为0.01</w:t>
      </w:r>
      <w:r>
        <w:rPr>
          <w:highlight w:val="none"/>
        </w:rPr>
        <w:t>mg/L</w:t>
      </w:r>
      <w:r>
        <w:rPr>
          <w:rFonts w:hint="eastAsia"/>
          <w:highlight w:val="none"/>
        </w:rPr>
        <w:t>，将不再区分大型/小型集中供水</w:t>
      </w:r>
      <w:r>
        <w:rPr>
          <w:rFonts w:hint="eastAsia"/>
          <w:highlight w:val="none"/>
          <w:lang w:eastAsia="zh-CN"/>
        </w:rPr>
        <w:t>，</w:t>
      </w:r>
      <w:r>
        <w:rPr>
          <w:rFonts w:hint="eastAsia"/>
          <w:highlight w:val="none"/>
          <w:lang w:val="en-US" w:eastAsia="zh-CN"/>
        </w:rPr>
        <w:t>按此标准，全国已改水的饮水型地方性砷中毒病区村水砷合格率为92.39%</w:t>
      </w:r>
      <w:r>
        <w:rPr>
          <w:rFonts w:hint="eastAsia"/>
          <w:highlight w:val="none"/>
        </w:rPr>
        <w:t>，</w:t>
      </w:r>
      <w:r>
        <w:rPr>
          <w:rFonts w:hint="eastAsia"/>
          <w:highlight w:val="none"/>
          <w:lang w:val="en-US" w:eastAsia="zh-CN"/>
        </w:rPr>
        <w:t>8个</w:t>
      </w:r>
      <w:r>
        <w:rPr>
          <w:rFonts w:hint="eastAsia"/>
          <w:highlight w:val="none"/>
        </w:rPr>
        <w:t>省份存在</w:t>
      </w:r>
      <w:r>
        <w:rPr>
          <w:rFonts w:hint="eastAsia"/>
          <w:highlight w:val="none"/>
          <w:lang w:val="en-US" w:eastAsia="zh-CN"/>
        </w:rPr>
        <w:t>超标村，主要为</w:t>
      </w:r>
      <w:r>
        <w:rPr>
          <w:rFonts w:hint="eastAsia"/>
          <w:highlight w:val="none"/>
        </w:rPr>
        <w:t>小型集中供水，这些村是否需</w:t>
      </w:r>
      <w:r>
        <w:rPr>
          <w:rFonts w:hint="eastAsia"/>
        </w:rPr>
        <w:t>要根据新的标准进行改水，需要开展论证</w:t>
      </w:r>
      <w:r>
        <w:rPr>
          <w:rFonts w:hint="eastAsia"/>
          <w:lang w:eastAsia="zh-CN"/>
        </w:rPr>
        <w:t>并提出解决方案</w:t>
      </w:r>
      <w:r>
        <w:rPr>
          <w:rFonts w:hint="eastAsia"/>
        </w:rPr>
        <w:t>。</w:t>
      </w:r>
    </w:p>
    <w:p>
      <w:pPr>
        <w:spacing w:line="360" w:lineRule="auto"/>
        <w:ind w:firstLine="482" w:firstLineChars="200"/>
        <w:rPr>
          <w:b/>
        </w:rPr>
      </w:pPr>
      <w:r>
        <w:rPr>
          <w:rFonts w:hint="eastAsia"/>
          <w:b/>
        </w:rPr>
        <w:t>（四）</w:t>
      </w:r>
      <w:r>
        <w:rPr>
          <w:rFonts w:hint="eastAsia"/>
          <w:b/>
          <w:lang w:eastAsia="zh-CN"/>
        </w:rPr>
        <w:t>重视专业队伍建设，保证监测质量</w:t>
      </w:r>
    </w:p>
    <w:bookmarkEnd w:id="1"/>
    <w:bookmarkEnd w:id="2"/>
    <w:bookmarkEnd w:id="3"/>
    <w:bookmarkEnd w:id="4"/>
    <w:p>
      <w:pPr>
        <w:spacing w:line="360" w:lineRule="auto"/>
        <w:ind w:firstLine="480" w:firstLineChars="200"/>
        <w:rPr>
          <w:bCs/>
        </w:rPr>
      </w:pPr>
      <w:r>
        <w:rPr>
          <w:rFonts w:hint="eastAsia"/>
          <w:bCs/>
        </w:rPr>
        <w:t>近年来，</w:t>
      </w:r>
      <w:r>
        <w:rPr>
          <w:rFonts w:hint="eastAsia"/>
          <w:bCs/>
          <w:lang w:eastAsia="zh-CN"/>
        </w:rPr>
        <w:t>全国地砷病病区或高砷区省份</w:t>
      </w:r>
      <w:r>
        <w:rPr>
          <w:rFonts w:hint="eastAsia"/>
          <w:bCs/>
        </w:rPr>
        <w:t>实施全覆盖监测工作，工作量大幅提升，在这期间各</w:t>
      </w:r>
      <w:r>
        <w:rPr>
          <w:rFonts w:hint="eastAsia"/>
          <w:bCs/>
          <w:lang w:eastAsia="zh-CN"/>
        </w:rPr>
        <w:t>监测</w:t>
      </w:r>
      <w:r>
        <w:rPr>
          <w:rFonts w:hint="eastAsia"/>
          <w:bCs/>
        </w:rPr>
        <w:t>省</w:t>
      </w:r>
      <w:r>
        <w:rPr>
          <w:rFonts w:hint="eastAsia"/>
          <w:bCs/>
          <w:lang w:eastAsia="zh-CN"/>
        </w:rPr>
        <w:t>份专业</w:t>
      </w:r>
      <w:r>
        <w:rPr>
          <w:rFonts w:hint="eastAsia"/>
          <w:bCs/>
        </w:rPr>
        <w:t>人员还需兼顾新冠疫情防控工作，</w:t>
      </w:r>
      <w:r>
        <w:rPr>
          <w:rFonts w:hint="eastAsia"/>
          <w:bCs/>
          <w:lang w:eastAsia="zh-CN"/>
        </w:rPr>
        <w:t>克服诸多困难，</w:t>
      </w:r>
      <w:r>
        <w:rPr>
          <w:rFonts w:hint="eastAsia"/>
          <w:bCs/>
        </w:rPr>
        <w:t>保证了监测工作质量，按期完成监测工作。在今后的监测工作中，希望各省级卫健部门及疾控部门进一步加强基层</w:t>
      </w:r>
      <w:r>
        <w:rPr>
          <w:rFonts w:hint="eastAsia"/>
          <w:bCs/>
          <w:lang w:eastAsia="zh-CN"/>
        </w:rPr>
        <w:t>地方病专业</w:t>
      </w:r>
      <w:r>
        <w:rPr>
          <w:rFonts w:hint="eastAsia"/>
          <w:bCs/>
        </w:rPr>
        <w:t>人员队伍建设，持续保障全国地方性砷中毒监测工作具有较高的监测质量。</w:t>
      </w:r>
    </w:p>
    <w:p>
      <w:pPr>
        <w:spacing w:line="360" w:lineRule="auto"/>
        <w:ind w:firstLine="420" w:firstLineChars="200"/>
        <w:rPr>
          <w:rFonts w:eastAsia="仿宋_GB2312" w:cs="宋体"/>
          <w:sz w:val="18"/>
          <w:szCs w:val="18"/>
        </w:rPr>
      </w:pPr>
      <w:r>
        <w:rPr>
          <w:rFonts w:hint="eastAsia"/>
          <w:bCs/>
          <w:sz w:val="21"/>
          <w:szCs w:val="21"/>
        </w:rPr>
        <w:t>致谢：感谢各项目省（自治区、直辖市）疾病预防控制中心（地方病防治研究所）以及参加项目工作的各监测县疾病预防控制中心的同志们！</w:t>
      </w:r>
    </w:p>
    <w:p>
      <w:pPr>
        <w:widowControl/>
        <w:rPr>
          <w:rFonts w:ascii="宋体" w:hAnsi="宋体"/>
          <w:b/>
          <w:sz w:val="21"/>
          <w:szCs w:val="21"/>
        </w:rPr>
      </w:pPr>
      <w:bookmarkStart w:id="5" w:name="_GoBack"/>
      <w:bookmarkEnd w:id="5"/>
    </w:p>
    <w:sectPr>
      <w:headerReference r:id="rId3" w:type="default"/>
      <w:footerReference r:id="rId4" w:type="default"/>
      <w:pgSz w:w="11906" w:h="16838"/>
      <w:pgMar w:top="1440" w:right="1797" w:bottom="1440" w:left="1797" w:header="851" w:footer="992" w:gutter="0"/>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Style w:val="14"/>
      </w:rPr>
      <w:fldChar w:fldCharType="begin"/>
    </w:r>
    <w:r>
      <w:rPr>
        <w:rStyle w:val="14"/>
      </w:rPr>
      <w:instrText xml:space="preserve"> PAGE </w:instrText>
    </w:r>
    <w:r>
      <w:rPr>
        <w:rStyle w:val="14"/>
      </w:rPr>
      <w:fldChar w:fldCharType="separate"/>
    </w:r>
    <w:r>
      <w:rPr>
        <w:rStyle w:val="14"/>
      </w:rPr>
      <w:t>4</w:t>
    </w:r>
    <w:r>
      <w:rPr>
        <w:rStyle w:val="1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68983"/>
    <w:multiLevelType w:val="singleLevel"/>
    <w:tmpl w:val="80468983"/>
    <w:lvl w:ilvl="0" w:tentative="0">
      <w:start w:val="1"/>
      <w:numFmt w:val="chineseCounting"/>
      <w:suff w:val="nothing"/>
      <w:lvlText w:val="（%1）"/>
      <w:lvlJc w:val="left"/>
      <w:rPr>
        <w:rFonts w:hint="eastAsia"/>
      </w:rPr>
    </w:lvl>
  </w:abstractNum>
  <w:abstractNum w:abstractNumId="1">
    <w:nsid w:val="7388DDD2"/>
    <w:multiLevelType w:val="singleLevel"/>
    <w:tmpl w:val="7388DDD2"/>
    <w:lvl w:ilvl="0" w:tentative="0">
      <w:start w:val="2"/>
      <w:numFmt w:val="decimal"/>
      <w:suff w:val="space"/>
      <w:lvlText w:val="%1."/>
      <w:lvlJc w:val="left"/>
    </w:lvl>
  </w:abstractNum>
  <w:abstractNum w:abstractNumId="2">
    <w:nsid w:val="782CE001"/>
    <w:multiLevelType w:val="singleLevel"/>
    <w:tmpl w:val="782CE001"/>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jdhY2JhMDlmMTMxOGMwOGQ1MjIzMmQ3OWFkNDgifQ=="/>
    <w:docVar w:name="KY_MEDREF_DOCUID" w:val="{B09A4528-1539-40BA-BA8D-0FBC0837783F}"/>
    <w:docVar w:name="KY_MEDREF_VERSION" w:val="3"/>
  </w:docVars>
  <w:rsids>
    <w:rsidRoot w:val="00070F60"/>
    <w:rsid w:val="0000038C"/>
    <w:rsid w:val="00001233"/>
    <w:rsid w:val="00001B46"/>
    <w:rsid w:val="00002121"/>
    <w:rsid w:val="00002DC6"/>
    <w:rsid w:val="000036D9"/>
    <w:rsid w:val="00004821"/>
    <w:rsid w:val="00007396"/>
    <w:rsid w:val="0001029C"/>
    <w:rsid w:val="00010D49"/>
    <w:rsid w:val="000113EF"/>
    <w:rsid w:val="00011F5E"/>
    <w:rsid w:val="000124B6"/>
    <w:rsid w:val="00012C69"/>
    <w:rsid w:val="0001370F"/>
    <w:rsid w:val="00015336"/>
    <w:rsid w:val="000155AD"/>
    <w:rsid w:val="000156DF"/>
    <w:rsid w:val="00015AA5"/>
    <w:rsid w:val="00016C43"/>
    <w:rsid w:val="000171AE"/>
    <w:rsid w:val="00017D38"/>
    <w:rsid w:val="00020CCD"/>
    <w:rsid w:val="00020F0A"/>
    <w:rsid w:val="00021675"/>
    <w:rsid w:val="000227A2"/>
    <w:rsid w:val="00022809"/>
    <w:rsid w:val="000231DC"/>
    <w:rsid w:val="000237B8"/>
    <w:rsid w:val="00023A0D"/>
    <w:rsid w:val="00023C15"/>
    <w:rsid w:val="00023DA5"/>
    <w:rsid w:val="00024F7E"/>
    <w:rsid w:val="00030141"/>
    <w:rsid w:val="00030CBE"/>
    <w:rsid w:val="0003109B"/>
    <w:rsid w:val="000311B1"/>
    <w:rsid w:val="00031B67"/>
    <w:rsid w:val="0003209E"/>
    <w:rsid w:val="0003340E"/>
    <w:rsid w:val="000336EA"/>
    <w:rsid w:val="00034B65"/>
    <w:rsid w:val="00034D93"/>
    <w:rsid w:val="0003505F"/>
    <w:rsid w:val="0003531C"/>
    <w:rsid w:val="00036AE4"/>
    <w:rsid w:val="000377EC"/>
    <w:rsid w:val="00040CD9"/>
    <w:rsid w:val="0004258A"/>
    <w:rsid w:val="0004373E"/>
    <w:rsid w:val="00043908"/>
    <w:rsid w:val="00043ADD"/>
    <w:rsid w:val="00046409"/>
    <w:rsid w:val="000468DE"/>
    <w:rsid w:val="00046BD5"/>
    <w:rsid w:val="00046CFD"/>
    <w:rsid w:val="00046D43"/>
    <w:rsid w:val="000502FB"/>
    <w:rsid w:val="00050308"/>
    <w:rsid w:val="000528BE"/>
    <w:rsid w:val="00052E5E"/>
    <w:rsid w:val="0005369F"/>
    <w:rsid w:val="00053988"/>
    <w:rsid w:val="000539E6"/>
    <w:rsid w:val="00054293"/>
    <w:rsid w:val="000551D8"/>
    <w:rsid w:val="00056982"/>
    <w:rsid w:val="000574B4"/>
    <w:rsid w:val="000574FC"/>
    <w:rsid w:val="000576FB"/>
    <w:rsid w:val="00057A99"/>
    <w:rsid w:val="00060107"/>
    <w:rsid w:val="00060116"/>
    <w:rsid w:val="000625BC"/>
    <w:rsid w:val="0006269C"/>
    <w:rsid w:val="00063A4C"/>
    <w:rsid w:val="00064628"/>
    <w:rsid w:val="000650BA"/>
    <w:rsid w:val="0006610B"/>
    <w:rsid w:val="0006706D"/>
    <w:rsid w:val="00070F60"/>
    <w:rsid w:val="00071235"/>
    <w:rsid w:val="00071CCB"/>
    <w:rsid w:val="00071D50"/>
    <w:rsid w:val="00073E3F"/>
    <w:rsid w:val="00074525"/>
    <w:rsid w:val="000748EA"/>
    <w:rsid w:val="00074C48"/>
    <w:rsid w:val="00076AC0"/>
    <w:rsid w:val="00077334"/>
    <w:rsid w:val="000774EE"/>
    <w:rsid w:val="0007774D"/>
    <w:rsid w:val="000806A0"/>
    <w:rsid w:val="000810B8"/>
    <w:rsid w:val="000815C8"/>
    <w:rsid w:val="000833AD"/>
    <w:rsid w:val="000839FE"/>
    <w:rsid w:val="0008425C"/>
    <w:rsid w:val="00085DD2"/>
    <w:rsid w:val="00085E16"/>
    <w:rsid w:val="000870F6"/>
    <w:rsid w:val="0008776E"/>
    <w:rsid w:val="00091967"/>
    <w:rsid w:val="00091AAA"/>
    <w:rsid w:val="00092C68"/>
    <w:rsid w:val="0009301D"/>
    <w:rsid w:val="00093655"/>
    <w:rsid w:val="00094414"/>
    <w:rsid w:val="000948BB"/>
    <w:rsid w:val="00095F5E"/>
    <w:rsid w:val="000971CF"/>
    <w:rsid w:val="00097650"/>
    <w:rsid w:val="00097818"/>
    <w:rsid w:val="0009781D"/>
    <w:rsid w:val="00097A6B"/>
    <w:rsid w:val="00097CDC"/>
    <w:rsid w:val="000A2D01"/>
    <w:rsid w:val="000A340F"/>
    <w:rsid w:val="000A479F"/>
    <w:rsid w:val="000A619C"/>
    <w:rsid w:val="000B1D77"/>
    <w:rsid w:val="000B2535"/>
    <w:rsid w:val="000B269E"/>
    <w:rsid w:val="000B2C05"/>
    <w:rsid w:val="000B41C5"/>
    <w:rsid w:val="000B5A0E"/>
    <w:rsid w:val="000B66E0"/>
    <w:rsid w:val="000B7130"/>
    <w:rsid w:val="000B7B5A"/>
    <w:rsid w:val="000C0EFB"/>
    <w:rsid w:val="000C3100"/>
    <w:rsid w:val="000C343C"/>
    <w:rsid w:val="000C354E"/>
    <w:rsid w:val="000C422E"/>
    <w:rsid w:val="000C72B3"/>
    <w:rsid w:val="000C735C"/>
    <w:rsid w:val="000C738A"/>
    <w:rsid w:val="000D0E20"/>
    <w:rsid w:val="000D1660"/>
    <w:rsid w:val="000D20BD"/>
    <w:rsid w:val="000D22BB"/>
    <w:rsid w:val="000D3302"/>
    <w:rsid w:val="000D3EEE"/>
    <w:rsid w:val="000D4785"/>
    <w:rsid w:val="000D5AEA"/>
    <w:rsid w:val="000D631B"/>
    <w:rsid w:val="000D6829"/>
    <w:rsid w:val="000D69F6"/>
    <w:rsid w:val="000D6E12"/>
    <w:rsid w:val="000D7788"/>
    <w:rsid w:val="000D7CE8"/>
    <w:rsid w:val="000E1FDD"/>
    <w:rsid w:val="000E2072"/>
    <w:rsid w:val="000E2EF7"/>
    <w:rsid w:val="000E40F2"/>
    <w:rsid w:val="000E4AB4"/>
    <w:rsid w:val="000E4F9A"/>
    <w:rsid w:val="000E539E"/>
    <w:rsid w:val="000E56B2"/>
    <w:rsid w:val="000F1711"/>
    <w:rsid w:val="000F1933"/>
    <w:rsid w:val="000F222D"/>
    <w:rsid w:val="000F39C7"/>
    <w:rsid w:val="000F42E3"/>
    <w:rsid w:val="000F4310"/>
    <w:rsid w:val="000F4D30"/>
    <w:rsid w:val="000F4ECB"/>
    <w:rsid w:val="000F5218"/>
    <w:rsid w:val="000F654A"/>
    <w:rsid w:val="000F6AC8"/>
    <w:rsid w:val="000F704B"/>
    <w:rsid w:val="000F724A"/>
    <w:rsid w:val="000F781D"/>
    <w:rsid w:val="0010167C"/>
    <w:rsid w:val="0010496F"/>
    <w:rsid w:val="00107473"/>
    <w:rsid w:val="00107B98"/>
    <w:rsid w:val="00112630"/>
    <w:rsid w:val="00113015"/>
    <w:rsid w:val="00113905"/>
    <w:rsid w:val="001144A7"/>
    <w:rsid w:val="001146FF"/>
    <w:rsid w:val="00114C8A"/>
    <w:rsid w:val="00114DD2"/>
    <w:rsid w:val="00114E87"/>
    <w:rsid w:val="00114F45"/>
    <w:rsid w:val="00115052"/>
    <w:rsid w:val="00115C79"/>
    <w:rsid w:val="00116AB5"/>
    <w:rsid w:val="00116AD8"/>
    <w:rsid w:val="00116F17"/>
    <w:rsid w:val="00121EE5"/>
    <w:rsid w:val="00123127"/>
    <w:rsid w:val="001243D3"/>
    <w:rsid w:val="001262D5"/>
    <w:rsid w:val="001263A4"/>
    <w:rsid w:val="00127A74"/>
    <w:rsid w:val="00127A77"/>
    <w:rsid w:val="00127B91"/>
    <w:rsid w:val="00131414"/>
    <w:rsid w:val="00132063"/>
    <w:rsid w:val="00132C01"/>
    <w:rsid w:val="00133740"/>
    <w:rsid w:val="00133D03"/>
    <w:rsid w:val="00134AAE"/>
    <w:rsid w:val="00136949"/>
    <w:rsid w:val="00136FA1"/>
    <w:rsid w:val="00136FB2"/>
    <w:rsid w:val="00137DE1"/>
    <w:rsid w:val="001400C7"/>
    <w:rsid w:val="001408D0"/>
    <w:rsid w:val="00140D11"/>
    <w:rsid w:val="00140DEF"/>
    <w:rsid w:val="00140EB8"/>
    <w:rsid w:val="001413A5"/>
    <w:rsid w:val="001419ED"/>
    <w:rsid w:val="00141B1A"/>
    <w:rsid w:val="00141D13"/>
    <w:rsid w:val="00141EAA"/>
    <w:rsid w:val="0014512B"/>
    <w:rsid w:val="00145AE2"/>
    <w:rsid w:val="0014609B"/>
    <w:rsid w:val="00146F72"/>
    <w:rsid w:val="0014763E"/>
    <w:rsid w:val="00150B53"/>
    <w:rsid w:val="00150BA0"/>
    <w:rsid w:val="00150DA3"/>
    <w:rsid w:val="00151343"/>
    <w:rsid w:val="00151B85"/>
    <w:rsid w:val="00151DCC"/>
    <w:rsid w:val="001527B9"/>
    <w:rsid w:val="00152E98"/>
    <w:rsid w:val="0015334E"/>
    <w:rsid w:val="00153707"/>
    <w:rsid w:val="0015430A"/>
    <w:rsid w:val="00154518"/>
    <w:rsid w:val="001566ED"/>
    <w:rsid w:val="00157483"/>
    <w:rsid w:val="001577A8"/>
    <w:rsid w:val="00160299"/>
    <w:rsid w:val="00160717"/>
    <w:rsid w:val="00160CFC"/>
    <w:rsid w:val="00162626"/>
    <w:rsid w:val="00162FF9"/>
    <w:rsid w:val="00163758"/>
    <w:rsid w:val="00164996"/>
    <w:rsid w:val="00166919"/>
    <w:rsid w:val="00170F5F"/>
    <w:rsid w:val="00171C5E"/>
    <w:rsid w:val="00173070"/>
    <w:rsid w:val="00173140"/>
    <w:rsid w:val="001737A3"/>
    <w:rsid w:val="00173827"/>
    <w:rsid w:val="0017413B"/>
    <w:rsid w:val="00175BA2"/>
    <w:rsid w:val="00175CE5"/>
    <w:rsid w:val="00176C86"/>
    <w:rsid w:val="00177766"/>
    <w:rsid w:val="00181A91"/>
    <w:rsid w:val="00182596"/>
    <w:rsid w:val="00182719"/>
    <w:rsid w:val="00182777"/>
    <w:rsid w:val="00182C5E"/>
    <w:rsid w:val="00183DD1"/>
    <w:rsid w:val="0018466C"/>
    <w:rsid w:val="00184800"/>
    <w:rsid w:val="00184A1D"/>
    <w:rsid w:val="00184A2B"/>
    <w:rsid w:val="00190747"/>
    <w:rsid w:val="001921D0"/>
    <w:rsid w:val="0019259E"/>
    <w:rsid w:val="00192BEB"/>
    <w:rsid w:val="00193CA5"/>
    <w:rsid w:val="00193CAF"/>
    <w:rsid w:val="00193F9B"/>
    <w:rsid w:val="00194CF0"/>
    <w:rsid w:val="00195C83"/>
    <w:rsid w:val="00195DB1"/>
    <w:rsid w:val="0019656D"/>
    <w:rsid w:val="00197794"/>
    <w:rsid w:val="001A1A18"/>
    <w:rsid w:val="001A3C3B"/>
    <w:rsid w:val="001A4E1F"/>
    <w:rsid w:val="001A772B"/>
    <w:rsid w:val="001A7B3C"/>
    <w:rsid w:val="001B1160"/>
    <w:rsid w:val="001B141E"/>
    <w:rsid w:val="001B193F"/>
    <w:rsid w:val="001B2F54"/>
    <w:rsid w:val="001B3AEF"/>
    <w:rsid w:val="001B3BEF"/>
    <w:rsid w:val="001B4FCB"/>
    <w:rsid w:val="001B574D"/>
    <w:rsid w:val="001B595C"/>
    <w:rsid w:val="001B5E6B"/>
    <w:rsid w:val="001B6F1D"/>
    <w:rsid w:val="001C0CBE"/>
    <w:rsid w:val="001C21A5"/>
    <w:rsid w:val="001C2222"/>
    <w:rsid w:val="001C3FB4"/>
    <w:rsid w:val="001C4A27"/>
    <w:rsid w:val="001C5916"/>
    <w:rsid w:val="001C71CB"/>
    <w:rsid w:val="001D0001"/>
    <w:rsid w:val="001D27C6"/>
    <w:rsid w:val="001D2BD4"/>
    <w:rsid w:val="001D2E9D"/>
    <w:rsid w:val="001D2F7E"/>
    <w:rsid w:val="001D3904"/>
    <w:rsid w:val="001D55CE"/>
    <w:rsid w:val="001D5F69"/>
    <w:rsid w:val="001D6A2F"/>
    <w:rsid w:val="001D6FDD"/>
    <w:rsid w:val="001D7247"/>
    <w:rsid w:val="001D731F"/>
    <w:rsid w:val="001D79A5"/>
    <w:rsid w:val="001E552F"/>
    <w:rsid w:val="001F0186"/>
    <w:rsid w:val="001F0B28"/>
    <w:rsid w:val="001F2F87"/>
    <w:rsid w:val="0020040A"/>
    <w:rsid w:val="0020095B"/>
    <w:rsid w:val="00203428"/>
    <w:rsid w:val="00203A9E"/>
    <w:rsid w:val="0020479E"/>
    <w:rsid w:val="00204B34"/>
    <w:rsid w:val="00205675"/>
    <w:rsid w:val="0020571F"/>
    <w:rsid w:val="00210564"/>
    <w:rsid w:val="00210582"/>
    <w:rsid w:val="00210835"/>
    <w:rsid w:val="0021167C"/>
    <w:rsid w:val="002117DF"/>
    <w:rsid w:val="00213052"/>
    <w:rsid w:val="00213246"/>
    <w:rsid w:val="0021330F"/>
    <w:rsid w:val="002135AF"/>
    <w:rsid w:val="0021464E"/>
    <w:rsid w:val="0021512C"/>
    <w:rsid w:val="00215202"/>
    <w:rsid w:val="00215868"/>
    <w:rsid w:val="002158AC"/>
    <w:rsid w:val="00215FCD"/>
    <w:rsid w:val="002206B3"/>
    <w:rsid w:val="00220753"/>
    <w:rsid w:val="00220C90"/>
    <w:rsid w:val="00222476"/>
    <w:rsid w:val="002229E2"/>
    <w:rsid w:val="002247E3"/>
    <w:rsid w:val="0022505B"/>
    <w:rsid w:val="0022572B"/>
    <w:rsid w:val="00225A53"/>
    <w:rsid w:val="0022678B"/>
    <w:rsid w:val="00226ACC"/>
    <w:rsid w:val="0022760E"/>
    <w:rsid w:val="002277E7"/>
    <w:rsid w:val="00230824"/>
    <w:rsid w:val="002308D5"/>
    <w:rsid w:val="00230AA6"/>
    <w:rsid w:val="00231AAD"/>
    <w:rsid w:val="002332D2"/>
    <w:rsid w:val="00234A6E"/>
    <w:rsid w:val="00235240"/>
    <w:rsid w:val="00235B07"/>
    <w:rsid w:val="00235C7A"/>
    <w:rsid w:val="002360CC"/>
    <w:rsid w:val="002372BE"/>
    <w:rsid w:val="00241F89"/>
    <w:rsid w:val="00242516"/>
    <w:rsid w:val="00242A49"/>
    <w:rsid w:val="00242D08"/>
    <w:rsid w:val="002432B7"/>
    <w:rsid w:val="002442C4"/>
    <w:rsid w:val="00244AA9"/>
    <w:rsid w:val="00244E53"/>
    <w:rsid w:val="00245C2A"/>
    <w:rsid w:val="00246331"/>
    <w:rsid w:val="00246887"/>
    <w:rsid w:val="00247608"/>
    <w:rsid w:val="002477F6"/>
    <w:rsid w:val="0025108B"/>
    <w:rsid w:val="0025448C"/>
    <w:rsid w:val="00254CD5"/>
    <w:rsid w:val="00256305"/>
    <w:rsid w:val="0025630C"/>
    <w:rsid w:val="00257688"/>
    <w:rsid w:val="00257D30"/>
    <w:rsid w:val="00260977"/>
    <w:rsid w:val="00260DD1"/>
    <w:rsid w:val="00260F0E"/>
    <w:rsid w:val="00261590"/>
    <w:rsid w:val="00262DB6"/>
    <w:rsid w:val="0026364E"/>
    <w:rsid w:val="00263E0B"/>
    <w:rsid w:val="00264042"/>
    <w:rsid w:val="00265C23"/>
    <w:rsid w:val="00266006"/>
    <w:rsid w:val="00266850"/>
    <w:rsid w:val="00266934"/>
    <w:rsid w:val="00266D3B"/>
    <w:rsid w:val="00266F67"/>
    <w:rsid w:val="002670FB"/>
    <w:rsid w:val="0026713F"/>
    <w:rsid w:val="00267319"/>
    <w:rsid w:val="002674E8"/>
    <w:rsid w:val="002702B9"/>
    <w:rsid w:val="002712AC"/>
    <w:rsid w:val="00271610"/>
    <w:rsid w:val="00271B08"/>
    <w:rsid w:val="00271E0E"/>
    <w:rsid w:val="00272359"/>
    <w:rsid w:val="002724F5"/>
    <w:rsid w:val="00272B24"/>
    <w:rsid w:val="00273F9F"/>
    <w:rsid w:val="002740A1"/>
    <w:rsid w:val="0027421B"/>
    <w:rsid w:val="002744AB"/>
    <w:rsid w:val="00274861"/>
    <w:rsid w:val="002758BD"/>
    <w:rsid w:val="00276B41"/>
    <w:rsid w:val="00276FFC"/>
    <w:rsid w:val="002820FD"/>
    <w:rsid w:val="00282FF1"/>
    <w:rsid w:val="00283885"/>
    <w:rsid w:val="00284075"/>
    <w:rsid w:val="00284943"/>
    <w:rsid w:val="00287024"/>
    <w:rsid w:val="0028735B"/>
    <w:rsid w:val="00287C43"/>
    <w:rsid w:val="002900C7"/>
    <w:rsid w:val="00291051"/>
    <w:rsid w:val="00292482"/>
    <w:rsid w:val="00292CF1"/>
    <w:rsid w:val="00292E64"/>
    <w:rsid w:val="002936B6"/>
    <w:rsid w:val="0029395B"/>
    <w:rsid w:val="002946C5"/>
    <w:rsid w:val="00294FE4"/>
    <w:rsid w:val="002A00C9"/>
    <w:rsid w:val="002A11D7"/>
    <w:rsid w:val="002A13A4"/>
    <w:rsid w:val="002A16A2"/>
    <w:rsid w:val="002A1C51"/>
    <w:rsid w:val="002A4987"/>
    <w:rsid w:val="002A72F2"/>
    <w:rsid w:val="002B01B9"/>
    <w:rsid w:val="002B0F39"/>
    <w:rsid w:val="002B15E0"/>
    <w:rsid w:val="002B1C9D"/>
    <w:rsid w:val="002B218A"/>
    <w:rsid w:val="002B22AD"/>
    <w:rsid w:val="002B43E5"/>
    <w:rsid w:val="002B4454"/>
    <w:rsid w:val="002B4A8E"/>
    <w:rsid w:val="002B6C08"/>
    <w:rsid w:val="002C196D"/>
    <w:rsid w:val="002C1B76"/>
    <w:rsid w:val="002C267F"/>
    <w:rsid w:val="002C421B"/>
    <w:rsid w:val="002C60A5"/>
    <w:rsid w:val="002C7408"/>
    <w:rsid w:val="002C7C79"/>
    <w:rsid w:val="002D0B0C"/>
    <w:rsid w:val="002D0C32"/>
    <w:rsid w:val="002D0CE3"/>
    <w:rsid w:val="002D25A7"/>
    <w:rsid w:val="002D3EB0"/>
    <w:rsid w:val="002D3FC6"/>
    <w:rsid w:val="002D4CE8"/>
    <w:rsid w:val="002D6A38"/>
    <w:rsid w:val="002D7961"/>
    <w:rsid w:val="002E00B7"/>
    <w:rsid w:val="002E1522"/>
    <w:rsid w:val="002E1D26"/>
    <w:rsid w:val="002E1FC1"/>
    <w:rsid w:val="002E2F3E"/>
    <w:rsid w:val="002E4AEB"/>
    <w:rsid w:val="002E4AF0"/>
    <w:rsid w:val="002E5173"/>
    <w:rsid w:val="002E6D84"/>
    <w:rsid w:val="002E73A1"/>
    <w:rsid w:val="002F0BB4"/>
    <w:rsid w:val="002F1674"/>
    <w:rsid w:val="002F18CB"/>
    <w:rsid w:val="002F21C9"/>
    <w:rsid w:val="002F22B8"/>
    <w:rsid w:val="002F3E06"/>
    <w:rsid w:val="0030046E"/>
    <w:rsid w:val="00303200"/>
    <w:rsid w:val="00303304"/>
    <w:rsid w:val="00303722"/>
    <w:rsid w:val="00304405"/>
    <w:rsid w:val="00304A36"/>
    <w:rsid w:val="00304BB8"/>
    <w:rsid w:val="00305EA3"/>
    <w:rsid w:val="0030601E"/>
    <w:rsid w:val="00306B7F"/>
    <w:rsid w:val="0031089D"/>
    <w:rsid w:val="003120EF"/>
    <w:rsid w:val="003125C4"/>
    <w:rsid w:val="003133E4"/>
    <w:rsid w:val="00313548"/>
    <w:rsid w:val="0031476E"/>
    <w:rsid w:val="0031498E"/>
    <w:rsid w:val="00315423"/>
    <w:rsid w:val="00316583"/>
    <w:rsid w:val="00316AE5"/>
    <w:rsid w:val="0032023E"/>
    <w:rsid w:val="003204AF"/>
    <w:rsid w:val="003204D5"/>
    <w:rsid w:val="00321102"/>
    <w:rsid w:val="00324218"/>
    <w:rsid w:val="00324F3F"/>
    <w:rsid w:val="003262F1"/>
    <w:rsid w:val="00326DC5"/>
    <w:rsid w:val="00327A77"/>
    <w:rsid w:val="0033075E"/>
    <w:rsid w:val="00330FFD"/>
    <w:rsid w:val="00331209"/>
    <w:rsid w:val="003318B4"/>
    <w:rsid w:val="003361AF"/>
    <w:rsid w:val="003405BE"/>
    <w:rsid w:val="00341363"/>
    <w:rsid w:val="0034143C"/>
    <w:rsid w:val="00342F04"/>
    <w:rsid w:val="003456F3"/>
    <w:rsid w:val="00345F5E"/>
    <w:rsid w:val="003464EB"/>
    <w:rsid w:val="003465CC"/>
    <w:rsid w:val="0034664F"/>
    <w:rsid w:val="003506DB"/>
    <w:rsid w:val="00351BE3"/>
    <w:rsid w:val="00351CB7"/>
    <w:rsid w:val="003538F7"/>
    <w:rsid w:val="00353C97"/>
    <w:rsid w:val="00354329"/>
    <w:rsid w:val="00355B74"/>
    <w:rsid w:val="003566A8"/>
    <w:rsid w:val="003572B5"/>
    <w:rsid w:val="00357319"/>
    <w:rsid w:val="00357A9F"/>
    <w:rsid w:val="00357E42"/>
    <w:rsid w:val="003600FD"/>
    <w:rsid w:val="00360928"/>
    <w:rsid w:val="00360D4A"/>
    <w:rsid w:val="00360DC0"/>
    <w:rsid w:val="0036198E"/>
    <w:rsid w:val="003621FC"/>
    <w:rsid w:val="0036381A"/>
    <w:rsid w:val="00364C42"/>
    <w:rsid w:val="00365E07"/>
    <w:rsid w:val="003676B9"/>
    <w:rsid w:val="003703A4"/>
    <w:rsid w:val="003706D9"/>
    <w:rsid w:val="00370B8B"/>
    <w:rsid w:val="003710F2"/>
    <w:rsid w:val="00371128"/>
    <w:rsid w:val="0037173E"/>
    <w:rsid w:val="003718F5"/>
    <w:rsid w:val="00371C0F"/>
    <w:rsid w:val="003726DF"/>
    <w:rsid w:val="00373084"/>
    <w:rsid w:val="00373431"/>
    <w:rsid w:val="003740A5"/>
    <w:rsid w:val="00374D1D"/>
    <w:rsid w:val="00375297"/>
    <w:rsid w:val="00375F70"/>
    <w:rsid w:val="00381800"/>
    <w:rsid w:val="00381E2C"/>
    <w:rsid w:val="003824B6"/>
    <w:rsid w:val="00383372"/>
    <w:rsid w:val="00383416"/>
    <w:rsid w:val="00383DAA"/>
    <w:rsid w:val="00384A52"/>
    <w:rsid w:val="00384BD8"/>
    <w:rsid w:val="00385016"/>
    <w:rsid w:val="003901DE"/>
    <w:rsid w:val="003903E2"/>
    <w:rsid w:val="00390B6B"/>
    <w:rsid w:val="00392F67"/>
    <w:rsid w:val="00393F42"/>
    <w:rsid w:val="00395757"/>
    <w:rsid w:val="0039617E"/>
    <w:rsid w:val="00396E24"/>
    <w:rsid w:val="00396E67"/>
    <w:rsid w:val="00397D1B"/>
    <w:rsid w:val="003A0489"/>
    <w:rsid w:val="003A17DF"/>
    <w:rsid w:val="003A2E1D"/>
    <w:rsid w:val="003A334E"/>
    <w:rsid w:val="003A3956"/>
    <w:rsid w:val="003A5005"/>
    <w:rsid w:val="003A5B57"/>
    <w:rsid w:val="003A69C0"/>
    <w:rsid w:val="003B06E9"/>
    <w:rsid w:val="003B0AC3"/>
    <w:rsid w:val="003B0C41"/>
    <w:rsid w:val="003B21F8"/>
    <w:rsid w:val="003B2820"/>
    <w:rsid w:val="003B2B12"/>
    <w:rsid w:val="003B2E0C"/>
    <w:rsid w:val="003B353A"/>
    <w:rsid w:val="003B3DC3"/>
    <w:rsid w:val="003B4CA3"/>
    <w:rsid w:val="003B69E9"/>
    <w:rsid w:val="003C041B"/>
    <w:rsid w:val="003C0E9A"/>
    <w:rsid w:val="003C21F6"/>
    <w:rsid w:val="003C36AC"/>
    <w:rsid w:val="003C3FF2"/>
    <w:rsid w:val="003C44A6"/>
    <w:rsid w:val="003C44E4"/>
    <w:rsid w:val="003C5030"/>
    <w:rsid w:val="003C60E7"/>
    <w:rsid w:val="003C6445"/>
    <w:rsid w:val="003C6986"/>
    <w:rsid w:val="003C6BCD"/>
    <w:rsid w:val="003C6CDC"/>
    <w:rsid w:val="003C7F9B"/>
    <w:rsid w:val="003D0A51"/>
    <w:rsid w:val="003D0EFB"/>
    <w:rsid w:val="003D2AAE"/>
    <w:rsid w:val="003D2D30"/>
    <w:rsid w:val="003D4E30"/>
    <w:rsid w:val="003D657D"/>
    <w:rsid w:val="003D673B"/>
    <w:rsid w:val="003D68FF"/>
    <w:rsid w:val="003D73F6"/>
    <w:rsid w:val="003D7D41"/>
    <w:rsid w:val="003E07C1"/>
    <w:rsid w:val="003E0AA0"/>
    <w:rsid w:val="003E3019"/>
    <w:rsid w:val="003E3637"/>
    <w:rsid w:val="003E39A5"/>
    <w:rsid w:val="003E3ED1"/>
    <w:rsid w:val="003E49AF"/>
    <w:rsid w:val="003E4F9D"/>
    <w:rsid w:val="003E5394"/>
    <w:rsid w:val="003E53E5"/>
    <w:rsid w:val="003E7575"/>
    <w:rsid w:val="003F0128"/>
    <w:rsid w:val="003F033B"/>
    <w:rsid w:val="003F037A"/>
    <w:rsid w:val="003F15BA"/>
    <w:rsid w:val="003F3107"/>
    <w:rsid w:val="003F449A"/>
    <w:rsid w:val="003F599C"/>
    <w:rsid w:val="003F5BEC"/>
    <w:rsid w:val="003F5F6A"/>
    <w:rsid w:val="003F6B22"/>
    <w:rsid w:val="003F78B4"/>
    <w:rsid w:val="003F79E7"/>
    <w:rsid w:val="003F7B7A"/>
    <w:rsid w:val="003F7FB2"/>
    <w:rsid w:val="00402D63"/>
    <w:rsid w:val="00403C09"/>
    <w:rsid w:val="00403DE7"/>
    <w:rsid w:val="00406215"/>
    <w:rsid w:val="00407446"/>
    <w:rsid w:val="0041066F"/>
    <w:rsid w:val="00410CA8"/>
    <w:rsid w:val="00411D57"/>
    <w:rsid w:val="0041247D"/>
    <w:rsid w:val="004133F1"/>
    <w:rsid w:val="00415EDC"/>
    <w:rsid w:val="00416CE8"/>
    <w:rsid w:val="00416EBE"/>
    <w:rsid w:val="0041773F"/>
    <w:rsid w:val="00417C81"/>
    <w:rsid w:val="00417E88"/>
    <w:rsid w:val="004215EB"/>
    <w:rsid w:val="00421720"/>
    <w:rsid w:val="00421D65"/>
    <w:rsid w:val="004224FD"/>
    <w:rsid w:val="00422DF9"/>
    <w:rsid w:val="0042303A"/>
    <w:rsid w:val="004239EE"/>
    <w:rsid w:val="00423FB9"/>
    <w:rsid w:val="00424424"/>
    <w:rsid w:val="00424609"/>
    <w:rsid w:val="00425067"/>
    <w:rsid w:val="0042678C"/>
    <w:rsid w:val="0042697D"/>
    <w:rsid w:val="00426981"/>
    <w:rsid w:val="004301D8"/>
    <w:rsid w:val="00432161"/>
    <w:rsid w:val="004323FA"/>
    <w:rsid w:val="004329EC"/>
    <w:rsid w:val="0043436B"/>
    <w:rsid w:val="00435200"/>
    <w:rsid w:val="00435A54"/>
    <w:rsid w:val="004366CB"/>
    <w:rsid w:val="00440099"/>
    <w:rsid w:val="0044126E"/>
    <w:rsid w:val="0044249F"/>
    <w:rsid w:val="0044434E"/>
    <w:rsid w:val="00444AAE"/>
    <w:rsid w:val="00445140"/>
    <w:rsid w:val="00445C32"/>
    <w:rsid w:val="004462D3"/>
    <w:rsid w:val="00446436"/>
    <w:rsid w:val="0044652B"/>
    <w:rsid w:val="00446E46"/>
    <w:rsid w:val="00447018"/>
    <w:rsid w:val="00450300"/>
    <w:rsid w:val="00451B5F"/>
    <w:rsid w:val="00451F75"/>
    <w:rsid w:val="004528E2"/>
    <w:rsid w:val="00454674"/>
    <w:rsid w:val="00454B6C"/>
    <w:rsid w:val="004560BC"/>
    <w:rsid w:val="004560FC"/>
    <w:rsid w:val="004566AE"/>
    <w:rsid w:val="004602DA"/>
    <w:rsid w:val="00460661"/>
    <w:rsid w:val="00460EF2"/>
    <w:rsid w:val="00461106"/>
    <w:rsid w:val="00461963"/>
    <w:rsid w:val="00462FBB"/>
    <w:rsid w:val="00463494"/>
    <w:rsid w:val="004635BA"/>
    <w:rsid w:val="00463FFA"/>
    <w:rsid w:val="00464346"/>
    <w:rsid w:val="00464E62"/>
    <w:rsid w:val="00465DAD"/>
    <w:rsid w:val="004660F7"/>
    <w:rsid w:val="004668F3"/>
    <w:rsid w:val="00466D4E"/>
    <w:rsid w:val="0046746C"/>
    <w:rsid w:val="00467F0F"/>
    <w:rsid w:val="00470AB9"/>
    <w:rsid w:val="00471BD8"/>
    <w:rsid w:val="00471E65"/>
    <w:rsid w:val="00472B8E"/>
    <w:rsid w:val="00473BBF"/>
    <w:rsid w:val="00474C4D"/>
    <w:rsid w:val="00475049"/>
    <w:rsid w:val="00475266"/>
    <w:rsid w:val="004752C5"/>
    <w:rsid w:val="00475BE7"/>
    <w:rsid w:val="0047612C"/>
    <w:rsid w:val="00476E14"/>
    <w:rsid w:val="00477992"/>
    <w:rsid w:val="004806CA"/>
    <w:rsid w:val="00480787"/>
    <w:rsid w:val="00481718"/>
    <w:rsid w:val="0048272C"/>
    <w:rsid w:val="00483FA9"/>
    <w:rsid w:val="00484B91"/>
    <w:rsid w:val="0048513D"/>
    <w:rsid w:val="0048597C"/>
    <w:rsid w:val="00486EBF"/>
    <w:rsid w:val="00487555"/>
    <w:rsid w:val="00487BDD"/>
    <w:rsid w:val="00490410"/>
    <w:rsid w:val="0049068D"/>
    <w:rsid w:val="00490756"/>
    <w:rsid w:val="00490779"/>
    <w:rsid w:val="00491831"/>
    <w:rsid w:val="00492DC1"/>
    <w:rsid w:val="00494A2B"/>
    <w:rsid w:val="00494D05"/>
    <w:rsid w:val="0049670C"/>
    <w:rsid w:val="004977B8"/>
    <w:rsid w:val="004A0DE5"/>
    <w:rsid w:val="004A0FBA"/>
    <w:rsid w:val="004A0FDB"/>
    <w:rsid w:val="004A1079"/>
    <w:rsid w:val="004A20B7"/>
    <w:rsid w:val="004A3C46"/>
    <w:rsid w:val="004A3F22"/>
    <w:rsid w:val="004A4475"/>
    <w:rsid w:val="004A50A9"/>
    <w:rsid w:val="004A6074"/>
    <w:rsid w:val="004A6149"/>
    <w:rsid w:val="004A6E6F"/>
    <w:rsid w:val="004A7062"/>
    <w:rsid w:val="004B0D08"/>
    <w:rsid w:val="004B1D41"/>
    <w:rsid w:val="004B1E8B"/>
    <w:rsid w:val="004B22EA"/>
    <w:rsid w:val="004B2D09"/>
    <w:rsid w:val="004B490B"/>
    <w:rsid w:val="004B4AC5"/>
    <w:rsid w:val="004B5842"/>
    <w:rsid w:val="004B5926"/>
    <w:rsid w:val="004B59BA"/>
    <w:rsid w:val="004B5BAF"/>
    <w:rsid w:val="004B6BA1"/>
    <w:rsid w:val="004B76F5"/>
    <w:rsid w:val="004C0E92"/>
    <w:rsid w:val="004C1625"/>
    <w:rsid w:val="004C29E1"/>
    <w:rsid w:val="004C3ACB"/>
    <w:rsid w:val="004C40F0"/>
    <w:rsid w:val="004C46E2"/>
    <w:rsid w:val="004C506E"/>
    <w:rsid w:val="004C5516"/>
    <w:rsid w:val="004C562B"/>
    <w:rsid w:val="004C5D6E"/>
    <w:rsid w:val="004D09A6"/>
    <w:rsid w:val="004D1156"/>
    <w:rsid w:val="004D1198"/>
    <w:rsid w:val="004D1735"/>
    <w:rsid w:val="004D1923"/>
    <w:rsid w:val="004D1E1E"/>
    <w:rsid w:val="004D24C0"/>
    <w:rsid w:val="004D39A3"/>
    <w:rsid w:val="004D3CEA"/>
    <w:rsid w:val="004D44EA"/>
    <w:rsid w:val="004D5197"/>
    <w:rsid w:val="004D54E9"/>
    <w:rsid w:val="004D556E"/>
    <w:rsid w:val="004D5AED"/>
    <w:rsid w:val="004D690E"/>
    <w:rsid w:val="004D6984"/>
    <w:rsid w:val="004D78DD"/>
    <w:rsid w:val="004E0CF2"/>
    <w:rsid w:val="004E4300"/>
    <w:rsid w:val="004E4465"/>
    <w:rsid w:val="004E4C80"/>
    <w:rsid w:val="004E548E"/>
    <w:rsid w:val="004E58FE"/>
    <w:rsid w:val="004E5F5D"/>
    <w:rsid w:val="004E6261"/>
    <w:rsid w:val="004E627B"/>
    <w:rsid w:val="004E6DC5"/>
    <w:rsid w:val="004E7F31"/>
    <w:rsid w:val="004F2E33"/>
    <w:rsid w:val="004F3986"/>
    <w:rsid w:val="004F4C03"/>
    <w:rsid w:val="004F5065"/>
    <w:rsid w:val="004F6EBC"/>
    <w:rsid w:val="004F7BFC"/>
    <w:rsid w:val="004F7CD3"/>
    <w:rsid w:val="0050181C"/>
    <w:rsid w:val="005019D6"/>
    <w:rsid w:val="00502A79"/>
    <w:rsid w:val="005039CC"/>
    <w:rsid w:val="00503FA3"/>
    <w:rsid w:val="00504BB4"/>
    <w:rsid w:val="00507E6F"/>
    <w:rsid w:val="0051005E"/>
    <w:rsid w:val="0051054E"/>
    <w:rsid w:val="00510A94"/>
    <w:rsid w:val="00510BAE"/>
    <w:rsid w:val="00511D60"/>
    <w:rsid w:val="00512045"/>
    <w:rsid w:val="0051220D"/>
    <w:rsid w:val="00513432"/>
    <w:rsid w:val="0051363D"/>
    <w:rsid w:val="00513B31"/>
    <w:rsid w:val="005148D0"/>
    <w:rsid w:val="00514CF2"/>
    <w:rsid w:val="00515B90"/>
    <w:rsid w:val="005174B3"/>
    <w:rsid w:val="00520019"/>
    <w:rsid w:val="00520439"/>
    <w:rsid w:val="00520F38"/>
    <w:rsid w:val="005212D9"/>
    <w:rsid w:val="00521622"/>
    <w:rsid w:val="00521D34"/>
    <w:rsid w:val="00523B25"/>
    <w:rsid w:val="00523F15"/>
    <w:rsid w:val="00524CAF"/>
    <w:rsid w:val="00525045"/>
    <w:rsid w:val="005263E1"/>
    <w:rsid w:val="005269E1"/>
    <w:rsid w:val="00530AAE"/>
    <w:rsid w:val="00530F89"/>
    <w:rsid w:val="0053175A"/>
    <w:rsid w:val="005322FC"/>
    <w:rsid w:val="005328F4"/>
    <w:rsid w:val="00533C51"/>
    <w:rsid w:val="00535189"/>
    <w:rsid w:val="00535808"/>
    <w:rsid w:val="00535A79"/>
    <w:rsid w:val="00536342"/>
    <w:rsid w:val="00536492"/>
    <w:rsid w:val="00536714"/>
    <w:rsid w:val="00540E16"/>
    <w:rsid w:val="00541B32"/>
    <w:rsid w:val="00542E43"/>
    <w:rsid w:val="005430A4"/>
    <w:rsid w:val="00543A01"/>
    <w:rsid w:val="00543AC0"/>
    <w:rsid w:val="00543C92"/>
    <w:rsid w:val="00546F9D"/>
    <w:rsid w:val="005478ED"/>
    <w:rsid w:val="00550967"/>
    <w:rsid w:val="00551898"/>
    <w:rsid w:val="0055202C"/>
    <w:rsid w:val="00552FA7"/>
    <w:rsid w:val="00553A44"/>
    <w:rsid w:val="00553FE1"/>
    <w:rsid w:val="005548D9"/>
    <w:rsid w:val="00554A88"/>
    <w:rsid w:val="0056119C"/>
    <w:rsid w:val="005625A1"/>
    <w:rsid w:val="0056260E"/>
    <w:rsid w:val="00562FE3"/>
    <w:rsid w:val="005649AD"/>
    <w:rsid w:val="005649CD"/>
    <w:rsid w:val="00565AF0"/>
    <w:rsid w:val="00566284"/>
    <w:rsid w:val="00566D6B"/>
    <w:rsid w:val="00566DEF"/>
    <w:rsid w:val="00566DF3"/>
    <w:rsid w:val="00567573"/>
    <w:rsid w:val="005708D9"/>
    <w:rsid w:val="00570B4C"/>
    <w:rsid w:val="0057178B"/>
    <w:rsid w:val="00572684"/>
    <w:rsid w:val="00572972"/>
    <w:rsid w:val="00575047"/>
    <w:rsid w:val="005756C0"/>
    <w:rsid w:val="00575CC8"/>
    <w:rsid w:val="0057661E"/>
    <w:rsid w:val="0058080D"/>
    <w:rsid w:val="00581938"/>
    <w:rsid w:val="00581A73"/>
    <w:rsid w:val="00582D31"/>
    <w:rsid w:val="00582E51"/>
    <w:rsid w:val="00584290"/>
    <w:rsid w:val="005852F9"/>
    <w:rsid w:val="00585383"/>
    <w:rsid w:val="0058642A"/>
    <w:rsid w:val="00586E0B"/>
    <w:rsid w:val="005902C5"/>
    <w:rsid w:val="0059186F"/>
    <w:rsid w:val="0059188B"/>
    <w:rsid w:val="0059465B"/>
    <w:rsid w:val="00594770"/>
    <w:rsid w:val="005961C3"/>
    <w:rsid w:val="00596513"/>
    <w:rsid w:val="00596A71"/>
    <w:rsid w:val="0059746F"/>
    <w:rsid w:val="005A0E44"/>
    <w:rsid w:val="005A103E"/>
    <w:rsid w:val="005A1A53"/>
    <w:rsid w:val="005A1D1F"/>
    <w:rsid w:val="005A2CCE"/>
    <w:rsid w:val="005A332A"/>
    <w:rsid w:val="005A4161"/>
    <w:rsid w:val="005A4F9E"/>
    <w:rsid w:val="005A50D9"/>
    <w:rsid w:val="005A63F4"/>
    <w:rsid w:val="005A7018"/>
    <w:rsid w:val="005A7907"/>
    <w:rsid w:val="005A7BD2"/>
    <w:rsid w:val="005A7DAA"/>
    <w:rsid w:val="005B00E9"/>
    <w:rsid w:val="005B2A29"/>
    <w:rsid w:val="005B445B"/>
    <w:rsid w:val="005B4578"/>
    <w:rsid w:val="005B5468"/>
    <w:rsid w:val="005B6567"/>
    <w:rsid w:val="005B666A"/>
    <w:rsid w:val="005B68C6"/>
    <w:rsid w:val="005B696A"/>
    <w:rsid w:val="005B72BC"/>
    <w:rsid w:val="005B75E0"/>
    <w:rsid w:val="005B76B8"/>
    <w:rsid w:val="005B79A1"/>
    <w:rsid w:val="005C0665"/>
    <w:rsid w:val="005C07F2"/>
    <w:rsid w:val="005C0DB5"/>
    <w:rsid w:val="005C1A8C"/>
    <w:rsid w:val="005C1D01"/>
    <w:rsid w:val="005C1D61"/>
    <w:rsid w:val="005C3491"/>
    <w:rsid w:val="005C3E58"/>
    <w:rsid w:val="005C4C79"/>
    <w:rsid w:val="005C65C0"/>
    <w:rsid w:val="005C6782"/>
    <w:rsid w:val="005C678C"/>
    <w:rsid w:val="005D263C"/>
    <w:rsid w:val="005D44C9"/>
    <w:rsid w:val="005D5AE7"/>
    <w:rsid w:val="005D5DD6"/>
    <w:rsid w:val="005E0B2E"/>
    <w:rsid w:val="005E1DE9"/>
    <w:rsid w:val="005E211C"/>
    <w:rsid w:val="005E3461"/>
    <w:rsid w:val="005E3751"/>
    <w:rsid w:val="005E37C9"/>
    <w:rsid w:val="005E3A7A"/>
    <w:rsid w:val="005E3C9E"/>
    <w:rsid w:val="005E3FF0"/>
    <w:rsid w:val="005E577D"/>
    <w:rsid w:val="005E5928"/>
    <w:rsid w:val="005E6A42"/>
    <w:rsid w:val="005E7426"/>
    <w:rsid w:val="005F1322"/>
    <w:rsid w:val="005F1E25"/>
    <w:rsid w:val="005F1E8D"/>
    <w:rsid w:val="005F2009"/>
    <w:rsid w:val="005F4854"/>
    <w:rsid w:val="005F489E"/>
    <w:rsid w:val="005F4A89"/>
    <w:rsid w:val="005F57B3"/>
    <w:rsid w:val="005F5F99"/>
    <w:rsid w:val="005F6606"/>
    <w:rsid w:val="005F6D30"/>
    <w:rsid w:val="006004C2"/>
    <w:rsid w:val="00601049"/>
    <w:rsid w:val="00602E03"/>
    <w:rsid w:val="00603EE0"/>
    <w:rsid w:val="00604D40"/>
    <w:rsid w:val="0060688C"/>
    <w:rsid w:val="006074C6"/>
    <w:rsid w:val="006076F0"/>
    <w:rsid w:val="006112F8"/>
    <w:rsid w:val="006131D0"/>
    <w:rsid w:val="00614167"/>
    <w:rsid w:val="006149BF"/>
    <w:rsid w:val="0061567E"/>
    <w:rsid w:val="006172EA"/>
    <w:rsid w:val="00620D9E"/>
    <w:rsid w:val="00622479"/>
    <w:rsid w:val="00622A76"/>
    <w:rsid w:val="006238B1"/>
    <w:rsid w:val="0062445A"/>
    <w:rsid w:val="00624F9E"/>
    <w:rsid w:val="006258C3"/>
    <w:rsid w:val="0062674B"/>
    <w:rsid w:val="00627941"/>
    <w:rsid w:val="00631196"/>
    <w:rsid w:val="0063312D"/>
    <w:rsid w:val="006348F0"/>
    <w:rsid w:val="00634B51"/>
    <w:rsid w:val="006403A4"/>
    <w:rsid w:val="00640B6F"/>
    <w:rsid w:val="00640FA6"/>
    <w:rsid w:val="006412D9"/>
    <w:rsid w:val="00641469"/>
    <w:rsid w:val="006414E0"/>
    <w:rsid w:val="006422E1"/>
    <w:rsid w:val="006423AF"/>
    <w:rsid w:val="00642959"/>
    <w:rsid w:val="0064371A"/>
    <w:rsid w:val="0064387A"/>
    <w:rsid w:val="00645BDA"/>
    <w:rsid w:val="00645E5E"/>
    <w:rsid w:val="00646F7D"/>
    <w:rsid w:val="00647500"/>
    <w:rsid w:val="00647591"/>
    <w:rsid w:val="00647D0D"/>
    <w:rsid w:val="0065265A"/>
    <w:rsid w:val="00652949"/>
    <w:rsid w:val="00653287"/>
    <w:rsid w:val="00653CC7"/>
    <w:rsid w:val="00654531"/>
    <w:rsid w:val="00654EE0"/>
    <w:rsid w:val="006555CC"/>
    <w:rsid w:val="006558A8"/>
    <w:rsid w:val="006558F6"/>
    <w:rsid w:val="00655CE6"/>
    <w:rsid w:val="00656ACF"/>
    <w:rsid w:val="00657038"/>
    <w:rsid w:val="00657194"/>
    <w:rsid w:val="00657A59"/>
    <w:rsid w:val="00657A74"/>
    <w:rsid w:val="006612BD"/>
    <w:rsid w:val="00662939"/>
    <w:rsid w:val="00662FC6"/>
    <w:rsid w:val="0066300C"/>
    <w:rsid w:val="00665E25"/>
    <w:rsid w:val="00665E65"/>
    <w:rsid w:val="006667D6"/>
    <w:rsid w:val="00671768"/>
    <w:rsid w:val="006717F4"/>
    <w:rsid w:val="0067185A"/>
    <w:rsid w:val="00671AEE"/>
    <w:rsid w:val="00672568"/>
    <w:rsid w:val="00672B5A"/>
    <w:rsid w:val="00674234"/>
    <w:rsid w:val="00674647"/>
    <w:rsid w:val="006769BA"/>
    <w:rsid w:val="006778BA"/>
    <w:rsid w:val="00680089"/>
    <w:rsid w:val="00680483"/>
    <w:rsid w:val="006814AA"/>
    <w:rsid w:val="00681CA6"/>
    <w:rsid w:val="00682F5D"/>
    <w:rsid w:val="00683A46"/>
    <w:rsid w:val="00683D21"/>
    <w:rsid w:val="00684355"/>
    <w:rsid w:val="006850C9"/>
    <w:rsid w:val="0068516C"/>
    <w:rsid w:val="006869C8"/>
    <w:rsid w:val="00686AD2"/>
    <w:rsid w:val="006907D5"/>
    <w:rsid w:val="00691452"/>
    <w:rsid w:val="006918F8"/>
    <w:rsid w:val="00691E42"/>
    <w:rsid w:val="00692F52"/>
    <w:rsid w:val="00692F7E"/>
    <w:rsid w:val="006931B8"/>
    <w:rsid w:val="00694C8E"/>
    <w:rsid w:val="00697C35"/>
    <w:rsid w:val="006A000C"/>
    <w:rsid w:val="006A00AE"/>
    <w:rsid w:val="006A0939"/>
    <w:rsid w:val="006A09A1"/>
    <w:rsid w:val="006A10AA"/>
    <w:rsid w:val="006A125E"/>
    <w:rsid w:val="006A13F6"/>
    <w:rsid w:val="006A1E69"/>
    <w:rsid w:val="006A1FF6"/>
    <w:rsid w:val="006A2140"/>
    <w:rsid w:val="006A45E0"/>
    <w:rsid w:val="006A533E"/>
    <w:rsid w:val="006A53EC"/>
    <w:rsid w:val="006A5556"/>
    <w:rsid w:val="006A6045"/>
    <w:rsid w:val="006A637B"/>
    <w:rsid w:val="006A6D99"/>
    <w:rsid w:val="006A766C"/>
    <w:rsid w:val="006A7D78"/>
    <w:rsid w:val="006B0599"/>
    <w:rsid w:val="006B0E53"/>
    <w:rsid w:val="006B13F5"/>
    <w:rsid w:val="006B17CD"/>
    <w:rsid w:val="006B6876"/>
    <w:rsid w:val="006B71CD"/>
    <w:rsid w:val="006B7CBD"/>
    <w:rsid w:val="006B7D1F"/>
    <w:rsid w:val="006C2D38"/>
    <w:rsid w:val="006C2ED6"/>
    <w:rsid w:val="006C3742"/>
    <w:rsid w:val="006C3A39"/>
    <w:rsid w:val="006C44C7"/>
    <w:rsid w:val="006C6C26"/>
    <w:rsid w:val="006C79F6"/>
    <w:rsid w:val="006D0ED8"/>
    <w:rsid w:val="006D1417"/>
    <w:rsid w:val="006D4F1B"/>
    <w:rsid w:val="006D58C6"/>
    <w:rsid w:val="006D5FB5"/>
    <w:rsid w:val="006D7F87"/>
    <w:rsid w:val="006D7F8C"/>
    <w:rsid w:val="006E15B7"/>
    <w:rsid w:val="006E1AA7"/>
    <w:rsid w:val="006E1B53"/>
    <w:rsid w:val="006E4AFD"/>
    <w:rsid w:val="006E5BF2"/>
    <w:rsid w:val="006E6390"/>
    <w:rsid w:val="006E6867"/>
    <w:rsid w:val="006E7C44"/>
    <w:rsid w:val="006F076E"/>
    <w:rsid w:val="006F0E38"/>
    <w:rsid w:val="006F0E4B"/>
    <w:rsid w:val="006F23A9"/>
    <w:rsid w:val="006F3498"/>
    <w:rsid w:val="006F579E"/>
    <w:rsid w:val="006F70F5"/>
    <w:rsid w:val="006F72CF"/>
    <w:rsid w:val="006F7468"/>
    <w:rsid w:val="006F768E"/>
    <w:rsid w:val="006F7771"/>
    <w:rsid w:val="00701197"/>
    <w:rsid w:val="00702777"/>
    <w:rsid w:val="00702D9B"/>
    <w:rsid w:val="00703180"/>
    <w:rsid w:val="00703746"/>
    <w:rsid w:val="00707DE4"/>
    <w:rsid w:val="00710C13"/>
    <w:rsid w:val="00712DA8"/>
    <w:rsid w:val="007134F4"/>
    <w:rsid w:val="007139ED"/>
    <w:rsid w:val="00713A9F"/>
    <w:rsid w:val="00713E81"/>
    <w:rsid w:val="00715049"/>
    <w:rsid w:val="007155D9"/>
    <w:rsid w:val="00715708"/>
    <w:rsid w:val="00715792"/>
    <w:rsid w:val="00716000"/>
    <w:rsid w:val="0072071C"/>
    <w:rsid w:val="00721498"/>
    <w:rsid w:val="00722032"/>
    <w:rsid w:val="00722402"/>
    <w:rsid w:val="00723462"/>
    <w:rsid w:val="00723AAE"/>
    <w:rsid w:val="0072449B"/>
    <w:rsid w:val="00724F16"/>
    <w:rsid w:val="00726BAD"/>
    <w:rsid w:val="007273C4"/>
    <w:rsid w:val="0073089C"/>
    <w:rsid w:val="007318EA"/>
    <w:rsid w:val="00732305"/>
    <w:rsid w:val="00733286"/>
    <w:rsid w:val="00733D3C"/>
    <w:rsid w:val="007342DC"/>
    <w:rsid w:val="00734D29"/>
    <w:rsid w:val="00735E23"/>
    <w:rsid w:val="00735F6E"/>
    <w:rsid w:val="00736089"/>
    <w:rsid w:val="00737BEA"/>
    <w:rsid w:val="00737C74"/>
    <w:rsid w:val="00737E49"/>
    <w:rsid w:val="00740736"/>
    <w:rsid w:val="0074126E"/>
    <w:rsid w:val="00741A81"/>
    <w:rsid w:val="00741EE1"/>
    <w:rsid w:val="007425B1"/>
    <w:rsid w:val="00742651"/>
    <w:rsid w:val="00743159"/>
    <w:rsid w:val="007438B2"/>
    <w:rsid w:val="00743EEE"/>
    <w:rsid w:val="00744A4A"/>
    <w:rsid w:val="00744D43"/>
    <w:rsid w:val="00745534"/>
    <w:rsid w:val="00746B60"/>
    <w:rsid w:val="00747666"/>
    <w:rsid w:val="00750163"/>
    <w:rsid w:val="00751AD8"/>
    <w:rsid w:val="00751FDD"/>
    <w:rsid w:val="00753A1D"/>
    <w:rsid w:val="00754EFA"/>
    <w:rsid w:val="00757A81"/>
    <w:rsid w:val="00761A64"/>
    <w:rsid w:val="00762284"/>
    <w:rsid w:val="0076252B"/>
    <w:rsid w:val="007630E7"/>
    <w:rsid w:val="0076384C"/>
    <w:rsid w:val="007646B3"/>
    <w:rsid w:val="00765AEC"/>
    <w:rsid w:val="007666C0"/>
    <w:rsid w:val="00766AFD"/>
    <w:rsid w:val="0076730D"/>
    <w:rsid w:val="00767394"/>
    <w:rsid w:val="00767F5C"/>
    <w:rsid w:val="00771766"/>
    <w:rsid w:val="00773D8E"/>
    <w:rsid w:val="00773F7A"/>
    <w:rsid w:val="007741CD"/>
    <w:rsid w:val="00776E09"/>
    <w:rsid w:val="0078039F"/>
    <w:rsid w:val="007807AF"/>
    <w:rsid w:val="00780B8F"/>
    <w:rsid w:val="007818A4"/>
    <w:rsid w:val="0078272F"/>
    <w:rsid w:val="007828EF"/>
    <w:rsid w:val="0078316F"/>
    <w:rsid w:val="00783CEE"/>
    <w:rsid w:val="00784E21"/>
    <w:rsid w:val="007851D4"/>
    <w:rsid w:val="00785804"/>
    <w:rsid w:val="00786962"/>
    <w:rsid w:val="0078708F"/>
    <w:rsid w:val="00787B36"/>
    <w:rsid w:val="00790BAA"/>
    <w:rsid w:val="0079244F"/>
    <w:rsid w:val="007924DB"/>
    <w:rsid w:val="00792962"/>
    <w:rsid w:val="00793BFF"/>
    <w:rsid w:val="007942B2"/>
    <w:rsid w:val="007944D1"/>
    <w:rsid w:val="007964E1"/>
    <w:rsid w:val="00796B73"/>
    <w:rsid w:val="00796F4B"/>
    <w:rsid w:val="00797769"/>
    <w:rsid w:val="007977FA"/>
    <w:rsid w:val="00797B7D"/>
    <w:rsid w:val="007A01EC"/>
    <w:rsid w:val="007A0815"/>
    <w:rsid w:val="007A1240"/>
    <w:rsid w:val="007A2137"/>
    <w:rsid w:val="007A3145"/>
    <w:rsid w:val="007A427A"/>
    <w:rsid w:val="007A4618"/>
    <w:rsid w:val="007A5D9A"/>
    <w:rsid w:val="007A6535"/>
    <w:rsid w:val="007A6C43"/>
    <w:rsid w:val="007B06B0"/>
    <w:rsid w:val="007B0995"/>
    <w:rsid w:val="007B1AA0"/>
    <w:rsid w:val="007B3551"/>
    <w:rsid w:val="007B35CF"/>
    <w:rsid w:val="007B4B24"/>
    <w:rsid w:val="007B6B04"/>
    <w:rsid w:val="007B7D64"/>
    <w:rsid w:val="007B7F1C"/>
    <w:rsid w:val="007C02DE"/>
    <w:rsid w:val="007C11EE"/>
    <w:rsid w:val="007C26B8"/>
    <w:rsid w:val="007C49AB"/>
    <w:rsid w:val="007C4DD8"/>
    <w:rsid w:val="007C5C9A"/>
    <w:rsid w:val="007C6CFB"/>
    <w:rsid w:val="007C6E1F"/>
    <w:rsid w:val="007C78CA"/>
    <w:rsid w:val="007C7B64"/>
    <w:rsid w:val="007C7F07"/>
    <w:rsid w:val="007D1A40"/>
    <w:rsid w:val="007D306C"/>
    <w:rsid w:val="007D33E3"/>
    <w:rsid w:val="007D3C13"/>
    <w:rsid w:val="007D52AC"/>
    <w:rsid w:val="007D531A"/>
    <w:rsid w:val="007D579F"/>
    <w:rsid w:val="007D5F7E"/>
    <w:rsid w:val="007D6D64"/>
    <w:rsid w:val="007E0101"/>
    <w:rsid w:val="007E0B46"/>
    <w:rsid w:val="007E1A15"/>
    <w:rsid w:val="007E327D"/>
    <w:rsid w:val="007E32CC"/>
    <w:rsid w:val="007E3F57"/>
    <w:rsid w:val="007E5A83"/>
    <w:rsid w:val="007E5B0A"/>
    <w:rsid w:val="007E627D"/>
    <w:rsid w:val="007E78B1"/>
    <w:rsid w:val="007E7EED"/>
    <w:rsid w:val="007E7F83"/>
    <w:rsid w:val="007F1892"/>
    <w:rsid w:val="007F1F59"/>
    <w:rsid w:val="007F271C"/>
    <w:rsid w:val="007F322E"/>
    <w:rsid w:val="007F36DF"/>
    <w:rsid w:val="007F3B87"/>
    <w:rsid w:val="007F400B"/>
    <w:rsid w:val="007F428D"/>
    <w:rsid w:val="007F50E2"/>
    <w:rsid w:val="007F5131"/>
    <w:rsid w:val="007F6652"/>
    <w:rsid w:val="00800C08"/>
    <w:rsid w:val="00800C92"/>
    <w:rsid w:val="00801849"/>
    <w:rsid w:val="00801D23"/>
    <w:rsid w:val="00802112"/>
    <w:rsid w:val="008021CA"/>
    <w:rsid w:val="00803278"/>
    <w:rsid w:val="00803858"/>
    <w:rsid w:val="00803E50"/>
    <w:rsid w:val="00804582"/>
    <w:rsid w:val="00805568"/>
    <w:rsid w:val="00805940"/>
    <w:rsid w:val="00806089"/>
    <w:rsid w:val="00806822"/>
    <w:rsid w:val="008075BA"/>
    <w:rsid w:val="0081317D"/>
    <w:rsid w:val="0081362A"/>
    <w:rsid w:val="00815835"/>
    <w:rsid w:val="008173EC"/>
    <w:rsid w:val="008177E8"/>
    <w:rsid w:val="0082145E"/>
    <w:rsid w:val="008226D7"/>
    <w:rsid w:val="00822FB4"/>
    <w:rsid w:val="00823185"/>
    <w:rsid w:val="0082386F"/>
    <w:rsid w:val="00823C64"/>
    <w:rsid w:val="00823D24"/>
    <w:rsid w:val="008247EF"/>
    <w:rsid w:val="00824A0C"/>
    <w:rsid w:val="0082655B"/>
    <w:rsid w:val="00826DF4"/>
    <w:rsid w:val="00831A64"/>
    <w:rsid w:val="00831BB4"/>
    <w:rsid w:val="00831CA8"/>
    <w:rsid w:val="00832DA9"/>
    <w:rsid w:val="0083345E"/>
    <w:rsid w:val="00834A42"/>
    <w:rsid w:val="008350CC"/>
    <w:rsid w:val="00836039"/>
    <w:rsid w:val="008366C2"/>
    <w:rsid w:val="008426C8"/>
    <w:rsid w:val="0084404D"/>
    <w:rsid w:val="00844B11"/>
    <w:rsid w:val="00845C6F"/>
    <w:rsid w:val="00846665"/>
    <w:rsid w:val="00846DD6"/>
    <w:rsid w:val="00847C0C"/>
    <w:rsid w:val="008515E6"/>
    <w:rsid w:val="0085232D"/>
    <w:rsid w:val="0085326C"/>
    <w:rsid w:val="00853444"/>
    <w:rsid w:val="00853C70"/>
    <w:rsid w:val="008554EA"/>
    <w:rsid w:val="00855994"/>
    <w:rsid w:val="00856124"/>
    <w:rsid w:val="00857208"/>
    <w:rsid w:val="008604C0"/>
    <w:rsid w:val="0086291D"/>
    <w:rsid w:val="00862CC4"/>
    <w:rsid w:val="00863334"/>
    <w:rsid w:val="00864DDF"/>
    <w:rsid w:val="00865083"/>
    <w:rsid w:val="00866E4C"/>
    <w:rsid w:val="008678C1"/>
    <w:rsid w:val="008701A1"/>
    <w:rsid w:val="008702DD"/>
    <w:rsid w:val="0087079D"/>
    <w:rsid w:val="00870C22"/>
    <w:rsid w:val="00871452"/>
    <w:rsid w:val="00871474"/>
    <w:rsid w:val="00871BEC"/>
    <w:rsid w:val="00872078"/>
    <w:rsid w:val="00872591"/>
    <w:rsid w:val="008732F3"/>
    <w:rsid w:val="008735A7"/>
    <w:rsid w:val="00873634"/>
    <w:rsid w:val="00874FCE"/>
    <w:rsid w:val="008750C2"/>
    <w:rsid w:val="00875261"/>
    <w:rsid w:val="0087596F"/>
    <w:rsid w:val="00875E12"/>
    <w:rsid w:val="00876E9D"/>
    <w:rsid w:val="008770DA"/>
    <w:rsid w:val="00881CFD"/>
    <w:rsid w:val="00881D3D"/>
    <w:rsid w:val="00882FE8"/>
    <w:rsid w:val="00883607"/>
    <w:rsid w:val="00883970"/>
    <w:rsid w:val="00883F90"/>
    <w:rsid w:val="00884E72"/>
    <w:rsid w:val="0088612C"/>
    <w:rsid w:val="00886343"/>
    <w:rsid w:val="00886A35"/>
    <w:rsid w:val="00886DAA"/>
    <w:rsid w:val="00886E87"/>
    <w:rsid w:val="008873CE"/>
    <w:rsid w:val="00887E4E"/>
    <w:rsid w:val="00890650"/>
    <w:rsid w:val="00891D9E"/>
    <w:rsid w:val="00891DBA"/>
    <w:rsid w:val="00892770"/>
    <w:rsid w:val="00893D7B"/>
    <w:rsid w:val="008944F0"/>
    <w:rsid w:val="008A0564"/>
    <w:rsid w:val="008A06AD"/>
    <w:rsid w:val="008A0AE4"/>
    <w:rsid w:val="008A1FD5"/>
    <w:rsid w:val="008A2525"/>
    <w:rsid w:val="008A274E"/>
    <w:rsid w:val="008A2CA9"/>
    <w:rsid w:val="008A4DA0"/>
    <w:rsid w:val="008A51B9"/>
    <w:rsid w:val="008A5FAC"/>
    <w:rsid w:val="008A614B"/>
    <w:rsid w:val="008A6857"/>
    <w:rsid w:val="008A73E4"/>
    <w:rsid w:val="008A773B"/>
    <w:rsid w:val="008B2450"/>
    <w:rsid w:val="008B2828"/>
    <w:rsid w:val="008B29F0"/>
    <w:rsid w:val="008B34A7"/>
    <w:rsid w:val="008B3B07"/>
    <w:rsid w:val="008B46BE"/>
    <w:rsid w:val="008B480B"/>
    <w:rsid w:val="008B57A3"/>
    <w:rsid w:val="008B5A85"/>
    <w:rsid w:val="008B6716"/>
    <w:rsid w:val="008B71B2"/>
    <w:rsid w:val="008B781F"/>
    <w:rsid w:val="008C16AB"/>
    <w:rsid w:val="008C1F79"/>
    <w:rsid w:val="008C1F9F"/>
    <w:rsid w:val="008C2A23"/>
    <w:rsid w:val="008C2A33"/>
    <w:rsid w:val="008C39B7"/>
    <w:rsid w:val="008C3C0F"/>
    <w:rsid w:val="008C3CF4"/>
    <w:rsid w:val="008C536D"/>
    <w:rsid w:val="008C7082"/>
    <w:rsid w:val="008C7E85"/>
    <w:rsid w:val="008D04EC"/>
    <w:rsid w:val="008D187F"/>
    <w:rsid w:val="008D1B55"/>
    <w:rsid w:val="008D372B"/>
    <w:rsid w:val="008D3E88"/>
    <w:rsid w:val="008D66B7"/>
    <w:rsid w:val="008D7568"/>
    <w:rsid w:val="008D7E24"/>
    <w:rsid w:val="008E00A8"/>
    <w:rsid w:val="008E03FB"/>
    <w:rsid w:val="008E122F"/>
    <w:rsid w:val="008E4136"/>
    <w:rsid w:val="008E41B4"/>
    <w:rsid w:val="008E55EF"/>
    <w:rsid w:val="008E7077"/>
    <w:rsid w:val="008F04BE"/>
    <w:rsid w:val="008F07BF"/>
    <w:rsid w:val="008F0AE9"/>
    <w:rsid w:val="008F0F60"/>
    <w:rsid w:val="008F20DC"/>
    <w:rsid w:val="008F3BE7"/>
    <w:rsid w:val="008F3EFC"/>
    <w:rsid w:val="008F4F96"/>
    <w:rsid w:val="008F5CCB"/>
    <w:rsid w:val="008F64BA"/>
    <w:rsid w:val="008F6E6F"/>
    <w:rsid w:val="008F6E79"/>
    <w:rsid w:val="008F7C25"/>
    <w:rsid w:val="00900730"/>
    <w:rsid w:val="00900C79"/>
    <w:rsid w:val="00901D15"/>
    <w:rsid w:val="0090773C"/>
    <w:rsid w:val="00911177"/>
    <w:rsid w:val="009118D7"/>
    <w:rsid w:val="00913399"/>
    <w:rsid w:val="00913C73"/>
    <w:rsid w:val="00913DDF"/>
    <w:rsid w:val="00914A17"/>
    <w:rsid w:val="0091605F"/>
    <w:rsid w:val="00916B91"/>
    <w:rsid w:val="00916D27"/>
    <w:rsid w:val="00921AF2"/>
    <w:rsid w:val="00923CF0"/>
    <w:rsid w:val="00925989"/>
    <w:rsid w:val="00926071"/>
    <w:rsid w:val="00926B29"/>
    <w:rsid w:val="00926FBB"/>
    <w:rsid w:val="009273E6"/>
    <w:rsid w:val="009274EB"/>
    <w:rsid w:val="009278AC"/>
    <w:rsid w:val="00927EA3"/>
    <w:rsid w:val="00927FCC"/>
    <w:rsid w:val="00930409"/>
    <w:rsid w:val="00930575"/>
    <w:rsid w:val="00931220"/>
    <w:rsid w:val="009314B0"/>
    <w:rsid w:val="00931C0C"/>
    <w:rsid w:val="009320DA"/>
    <w:rsid w:val="00932387"/>
    <w:rsid w:val="00932829"/>
    <w:rsid w:val="00932D4D"/>
    <w:rsid w:val="009338D3"/>
    <w:rsid w:val="00933D10"/>
    <w:rsid w:val="00936548"/>
    <w:rsid w:val="00936630"/>
    <w:rsid w:val="00937D2E"/>
    <w:rsid w:val="00940CBB"/>
    <w:rsid w:val="00944397"/>
    <w:rsid w:val="009443F1"/>
    <w:rsid w:val="0094444D"/>
    <w:rsid w:val="0094445F"/>
    <w:rsid w:val="009463C0"/>
    <w:rsid w:val="00947CD6"/>
    <w:rsid w:val="00950CAD"/>
    <w:rsid w:val="00950D9E"/>
    <w:rsid w:val="0095240B"/>
    <w:rsid w:val="00952FAA"/>
    <w:rsid w:val="009531D0"/>
    <w:rsid w:val="009556AA"/>
    <w:rsid w:val="009561A4"/>
    <w:rsid w:val="00956514"/>
    <w:rsid w:val="00957051"/>
    <w:rsid w:val="009578D6"/>
    <w:rsid w:val="00960402"/>
    <w:rsid w:val="009605BF"/>
    <w:rsid w:val="00960DE5"/>
    <w:rsid w:val="00961EAB"/>
    <w:rsid w:val="00961F74"/>
    <w:rsid w:val="009629B8"/>
    <w:rsid w:val="00962A8F"/>
    <w:rsid w:val="00963B3D"/>
    <w:rsid w:val="00963C00"/>
    <w:rsid w:val="00964FA7"/>
    <w:rsid w:val="00965EC1"/>
    <w:rsid w:val="00966F48"/>
    <w:rsid w:val="009677BD"/>
    <w:rsid w:val="00970973"/>
    <w:rsid w:val="00972432"/>
    <w:rsid w:val="009732A3"/>
    <w:rsid w:val="0097332F"/>
    <w:rsid w:val="00973A9D"/>
    <w:rsid w:val="009754FF"/>
    <w:rsid w:val="009760E3"/>
    <w:rsid w:val="00976189"/>
    <w:rsid w:val="009761CE"/>
    <w:rsid w:val="00976615"/>
    <w:rsid w:val="00977CE0"/>
    <w:rsid w:val="00981A55"/>
    <w:rsid w:val="00982A0D"/>
    <w:rsid w:val="00982EE2"/>
    <w:rsid w:val="00983580"/>
    <w:rsid w:val="00983AA9"/>
    <w:rsid w:val="00983ED4"/>
    <w:rsid w:val="00984214"/>
    <w:rsid w:val="00984477"/>
    <w:rsid w:val="00984AA2"/>
    <w:rsid w:val="009851A8"/>
    <w:rsid w:val="00986865"/>
    <w:rsid w:val="00990AD0"/>
    <w:rsid w:val="00991793"/>
    <w:rsid w:val="00991799"/>
    <w:rsid w:val="009932EB"/>
    <w:rsid w:val="00993820"/>
    <w:rsid w:val="00993E78"/>
    <w:rsid w:val="00994F73"/>
    <w:rsid w:val="00995552"/>
    <w:rsid w:val="009955F0"/>
    <w:rsid w:val="00995639"/>
    <w:rsid w:val="009A07EC"/>
    <w:rsid w:val="009A12DE"/>
    <w:rsid w:val="009A2103"/>
    <w:rsid w:val="009A2B1D"/>
    <w:rsid w:val="009A33FB"/>
    <w:rsid w:val="009A3F9E"/>
    <w:rsid w:val="009A4004"/>
    <w:rsid w:val="009A40F3"/>
    <w:rsid w:val="009A4A0E"/>
    <w:rsid w:val="009A5347"/>
    <w:rsid w:val="009A56A3"/>
    <w:rsid w:val="009A5A5E"/>
    <w:rsid w:val="009B0A81"/>
    <w:rsid w:val="009B43CE"/>
    <w:rsid w:val="009B4721"/>
    <w:rsid w:val="009B624C"/>
    <w:rsid w:val="009B670E"/>
    <w:rsid w:val="009B74E9"/>
    <w:rsid w:val="009C04E2"/>
    <w:rsid w:val="009C0A33"/>
    <w:rsid w:val="009C0DE9"/>
    <w:rsid w:val="009C15B3"/>
    <w:rsid w:val="009C1C21"/>
    <w:rsid w:val="009C2AA5"/>
    <w:rsid w:val="009C2DB9"/>
    <w:rsid w:val="009C36D3"/>
    <w:rsid w:val="009C3A2C"/>
    <w:rsid w:val="009C4D19"/>
    <w:rsid w:val="009C4FAC"/>
    <w:rsid w:val="009C5339"/>
    <w:rsid w:val="009C6691"/>
    <w:rsid w:val="009C6ECB"/>
    <w:rsid w:val="009C787A"/>
    <w:rsid w:val="009D1A05"/>
    <w:rsid w:val="009D288D"/>
    <w:rsid w:val="009D3962"/>
    <w:rsid w:val="009D49BB"/>
    <w:rsid w:val="009D4A7B"/>
    <w:rsid w:val="009E0534"/>
    <w:rsid w:val="009E08A4"/>
    <w:rsid w:val="009E0CFF"/>
    <w:rsid w:val="009E29DC"/>
    <w:rsid w:val="009E2DC5"/>
    <w:rsid w:val="009E454A"/>
    <w:rsid w:val="009E5F69"/>
    <w:rsid w:val="009E5FCA"/>
    <w:rsid w:val="009E62F5"/>
    <w:rsid w:val="009E6754"/>
    <w:rsid w:val="009E6BCF"/>
    <w:rsid w:val="009F048D"/>
    <w:rsid w:val="009F173F"/>
    <w:rsid w:val="009F2981"/>
    <w:rsid w:val="009F3299"/>
    <w:rsid w:val="009F377D"/>
    <w:rsid w:val="009F3BE1"/>
    <w:rsid w:val="009F427A"/>
    <w:rsid w:val="009F4664"/>
    <w:rsid w:val="009F54DA"/>
    <w:rsid w:val="009F5B12"/>
    <w:rsid w:val="009F681B"/>
    <w:rsid w:val="009F6A92"/>
    <w:rsid w:val="009F6DE5"/>
    <w:rsid w:val="009F7417"/>
    <w:rsid w:val="00A00A72"/>
    <w:rsid w:val="00A022F8"/>
    <w:rsid w:val="00A029A3"/>
    <w:rsid w:val="00A0456A"/>
    <w:rsid w:val="00A04624"/>
    <w:rsid w:val="00A048FA"/>
    <w:rsid w:val="00A0628A"/>
    <w:rsid w:val="00A06F8A"/>
    <w:rsid w:val="00A109B9"/>
    <w:rsid w:val="00A10F90"/>
    <w:rsid w:val="00A117A6"/>
    <w:rsid w:val="00A12789"/>
    <w:rsid w:val="00A135D7"/>
    <w:rsid w:val="00A14330"/>
    <w:rsid w:val="00A14D46"/>
    <w:rsid w:val="00A153D3"/>
    <w:rsid w:val="00A16830"/>
    <w:rsid w:val="00A16D5A"/>
    <w:rsid w:val="00A17F47"/>
    <w:rsid w:val="00A208DD"/>
    <w:rsid w:val="00A20D88"/>
    <w:rsid w:val="00A21114"/>
    <w:rsid w:val="00A23077"/>
    <w:rsid w:val="00A230AE"/>
    <w:rsid w:val="00A24F84"/>
    <w:rsid w:val="00A257F4"/>
    <w:rsid w:val="00A25B10"/>
    <w:rsid w:val="00A27A1D"/>
    <w:rsid w:val="00A311F5"/>
    <w:rsid w:val="00A31342"/>
    <w:rsid w:val="00A324F5"/>
    <w:rsid w:val="00A32B54"/>
    <w:rsid w:val="00A32C34"/>
    <w:rsid w:val="00A35034"/>
    <w:rsid w:val="00A372CB"/>
    <w:rsid w:val="00A37A92"/>
    <w:rsid w:val="00A40464"/>
    <w:rsid w:val="00A415B6"/>
    <w:rsid w:val="00A41E8D"/>
    <w:rsid w:val="00A44933"/>
    <w:rsid w:val="00A44956"/>
    <w:rsid w:val="00A463F3"/>
    <w:rsid w:val="00A46CDF"/>
    <w:rsid w:val="00A47165"/>
    <w:rsid w:val="00A47B64"/>
    <w:rsid w:val="00A5053E"/>
    <w:rsid w:val="00A5087B"/>
    <w:rsid w:val="00A51578"/>
    <w:rsid w:val="00A51716"/>
    <w:rsid w:val="00A51E1D"/>
    <w:rsid w:val="00A53F7B"/>
    <w:rsid w:val="00A5459A"/>
    <w:rsid w:val="00A54A51"/>
    <w:rsid w:val="00A5565A"/>
    <w:rsid w:val="00A56631"/>
    <w:rsid w:val="00A568F7"/>
    <w:rsid w:val="00A56907"/>
    <w:rsid w:val="00A57662"/>
    <w:rsid w:val="00A57C62"/>
    <w:rsid w:val="00A604F9"/>
    <w:rsid w:val="00A6061B"/>
    <w:rsid w:val="00A6069B"/>
    <w:rsid w:val="00A6180E"/>
    <w:rsid w:val="00A61FFE"/>
    <w:rsid w:val="00A621CE"/>
    <w:rsid w:val="00A62642"/>
    <w:rsid w:val="00A62A39"/>
    <w:rsid w:val="00A62BD7"/>
    <w:rsid w:val="00A6350B"/>
    <w:rsid w:val="00A65BA7"/>
    <w:rsid w:val="00A66875"/>
    <w:rsid w:val="00A669F0"/>
    <w:rsid w:val="00A67AAA"/>
    <w:rsid w:val="00A67F3F"/>
    <w:rsid w:val="00A70D96"/>
    <w:rsid w:val="00A72D79"/>
    <w:rsid w:val="00A73269"/>
    <w:rsid w:val="00A747D8"/>
    <w:rsid w:val="00A74CB5"/>
    <w:rsid w:val="00A7548B"/>
    <w:rsid w:val="00A76667"/>
    <w:rsid w:val="00A77D19"/>
    <w:rsid w:val="00A8007D"/>
    <w:rsid w:val="00A8152F"/>
    <w:rsid w:val="00A82190"/>
    <w:rsid w:val="00A83C30"/>
    <w:rsid w:val="00A840D8"/>
    <w:rsid w:val="00A845DC"/>
    <w:rsid w:val="00A847AC"/>
    <w:rsid w:val="00A85017"/>
    <w:rsid w:val="00A85036"/>
    <w:rsid w:val="00A85597"/>
    <w:rsid w:val="00A85B7E"/>
    <w:rsid w:val="00A8718D"/>
    <w:rsid w:val="00A87A78"/>
    <w:rsid w:val="00A87DCF"/>
    <w:rsid w:val="00A90FCD"/>
    <w:rsid w:val="00A91323"/>
    <w:rsid w:val="00A913B6"/>
    <w:rsid w:val="00A92B71"/>
    <w:rsid w:val="00A93361"/>
    <w:rsid w:val="00A9361C"/>
    <w:rsid w:val="00A9377E"/>
    <w:rsid w:val="00A93C16"/>
    <w:rsid w:val="00A9536D"/>
    <w:rsid w:val="00A958FA"/>
    <w:rsid w:val="00A96450"/>
    <w:rsid w:val="00A9701A"/>
    <w:rsid w:val="00A97F3B"/>
    <w:rsid w:val="00AA0ADE"/>
    <w:rsid w:val="00AA118C"/>
    <w:rsid w:val="00AA230E"/>
    <w:rsid w:val="00AA30AA"/>
    <w:rsid w:val="00AA3A09"/>
    <w:rsid w:val="00AA3BF1"/>
    <w:rsid w:val="00AA43FE"/>
    <w:rsid w:val="00AA4A64"/>
    <w:rsid w:val="00AA52F3"/>
    <w:rsid w:val="00AA66A7"/>
    <w:rsid w:val="00AA75B2"/>
    <w:rsid w:val="00AA77F0"/>
    <w:rsid w:val="00AB1696"/>
    <w:rsid w:val="00AB28AF"/>
    <w:rsid w:val="00AB5066"/>
    <w:rsid w:val="00AB68A1"/>
    <w:rsid w:val="00AB6CC6"/>
    <w:rsid w:val="00AB798B"/>
    <w:rsid w:val="00AB7992"/>
    <w:rsid w:val="00AC064A"/>
    <w:rsid w:val="00AC0DD4"/>
    <w:rsid w:val="00AC1A41"/>
    <w:rsid w:val="00AC1BD7"/>
    <w:rsid w:val="00AC460C"/>
    <w:rsid w:val="00AC4E34"/>
    <w:rsid w:val="00AC59FD"/>
    <w:rsid w:val="00AC6D2D"/>
    <w:rsid w:val="00AC7361"/>
    <w:rsid w:val="00AC7D09"/>
    <w:rsid w:val="00AD09D9"/>
    <w:rsid w:val="00AD0BD8"/>
    <w:rsid w:val="00AD2187"/>
    <w:rsid w:val="00AD2DB9"/>
    <w:rsid w:val="00AD45C8"/>
    <w:rsid w:val="00AD52B9"/>
    <w:rsid w:val="00AD5398"/>
    <w:rsid w:val="00AD5ABA"/>
    <w:rsid w:val="00AD60F0"/>
    <w:rsid w:val="00AD63F9"/>
    <w:rsid w:val="00AE0D7B"/>
    <w:rsid w:val="00AE270B"/>
    <w:rsid w:val="00AE28CD"/>
    <w:rsid w:val="00AE54B7"/>
    <w:rsid w:val="00AE5515"/>
    <w:rsid w:val="00AE56ED"/>
    <w:rsid w:val="00AE5B51"/>
    <w:rsid w:val="00AE5BFB"/>
    <w:rsid w:val="00AE7607"/>
    <w:rsid w:val="00AE7997"/>
    <w:rsid w:val="00AF0200"/>
    <w:rsid w:val="00AF0BB8"/>
    <w:rsid w:val="00AF1478"/>
    <w:rsid w:val="00AF1BFE"/>
    <w:rsid w:val="00AF20C5"/>
    <w:rsid w:val="00AF2671"/>
    <w:rsid w:val="00AF3B35"/>
    <w:rsid w:val="00AF4341"/>
    <w:rsid w:val="00AF50AE"/>
    <w:rsid w:val="00AF54CE"/>
    <w:rsid w:val="00AF55BA"/>
    <w:rsid w:val="00AF5A17"/>
    <w:rsid w:val="00AF5B55"/>
    <w:rsid w:val="00AF652C"/>
    <w:rsid w:val="00AF7319"/>
    <w:rsid w:val="00AF7863"/>
    <w:rsid w:val="00AF7B72"/>
    <w:rsid w:val="00AF7C65"/>
    <w:rsid w:val="00B0070A"/>
    <w:rsid w:val="00B007C7"/>
    <w:rsid w:val="00B007F5"/>
    <w:rsid w:val="00B00835"/>
    <w:rsid w:val="00B00FBB"/>
    <w:rsid w:val="00B0313C"/>
    <w:rsid w:val="00B03CFB"/>
    <w:rsid w:val="00B03E3A"/>
    <w:rsid w:val="00B04207"/>
    <w:rsid w:val="00B0597F"/>
    <w:rsid w:val="00B06636"/>
    <w:rsid w:val="00B12ECE"/>
    <w:rsid w:val="00B134BC"/>
    <w:rsid w:val="00B1364D"/>
    <w:rsid w:val="00B152C9"/>
    <w:rsid w:val="00B15E17"/>
    <w:rsid w:val="00B16975"/>
    <w:rsid w:val="00B17209"/>
    <w:rsid w:val="00B1753B"/>
    <w:rsid w:val="00B1787A"/>
    <w:rsid w:val="00B20FE0"/>
    <w:rsid w:val="00B21733"/>
    <w:rsid w:val="00B21984"/>
    <w:rsid w:val="00B2220F"/>
    <w:rsid w:val="00B238DA"/>
    <w:rsid w:val="00B24793"/>
    <w:rsid w:val="00B250C5"/>
    <w:rsid w:val="00B2580F"/>
    <w:rsid w:val="00B25AC2"/>
    <w:rsid w:val="00B26359"/>
    <w:rsid w:val="00B2645E"/>
    <w:rsid w:val="00B26DCD"/>
    <w:rsid w:val="00B26F8A"/>
    <w:rsid w:val="00B270E2"/>
    <w:rsid w:val="00B274F2"/>
    <w:rsid w:val="00B34756"/>
    <w:rsid w:val="00B34D3A"/>
    <w:rsid w:val="00B34EFF"/>
    <w:rsid w:val="00B352CE"/>
    <w:rsid w:val="00B36F49"/>
    <w:rsid w:val="00B374E1"/>
    <w:rsid w:val="00B4066A"/>
    <w:rsid w:val="00B4133A"/>
    <w:rsid w:val="00B418AB"/>
    <w:rsid w:val="00B41B01"/>
    <w:rsid w:val="00B42740"/>
    <w:rsid w:val="00B4398E"/>
    <w:rsid w:val="00B4399C"/>
    <w:rsid w:val="00B43C1F"/>
    <w:rsid w:val="00B445F9"/>
    <w:rsid w:val="00B46688"/>
    <w:rsid w:val="00B46774"/>
    <w:rsid w:val="00B474DD"/>
    <w:rsid w:val="00B51961"/>
    <w:rsid w:val="00B51FDF"/>
    <w:rsid w:val="00B5286F"/>
    <w:rsid w:val="00B52DDE"/>
    <w:rsid w:val="00B530B1"/>
    <w:rsid w:val="00B54E52"/>
    <w:rsid w:val="00B57AC2"/>
    <w:rsid w:val="00B61B06"/>
    <w:rsid w:val="00B6361A"/>
    <w:rsid w:val="00B6483A"/>
    <w:rsid w:val="00B64DB3"/>
    <w:rsid w:val="00B65C5D"/>
    <w:rsid w:val="00B66031"/>
    <w:rsid w:val="00B66863"/>
    <w:rsid w:val="00B67124"/>
    <w:rsid w:val="00B6733D"/>
    <w:rsid w:val="00B70E3E"/>
    <w:rsid w:val="00B71F70"/>
    <w:rsid w:val="00B72B5A"/>
    <w:rsid w:val="00B72DA7"/>
    <w:rsid w:val="00B731E8"/>
    <w:rsid w:val="00B73BA9"/>
    <w:rsid w:val="00B743E2"/>
    <w:rsid w:val="00B75811"/>
    <w:rsid w:val="00B75861"/>
    <w:rsid w:val="00B76A47"/>
    <w:rsid w:val="00B7756F"/>
    <w:rsid w:val="00B80B13"/>
    <w:rsid w:val="00B817B0"/>
    <w:rsid w:val="00B839C8"/>
    <w:rsid w:val="00B84DE7"/>
    <w:rsid w:val="00B84DFC"/>
    <w:rsid w:val="00B860E7"/>
    <w:rsid w:val="00B870FC"/>
    <w:rsid w:val="00B90749"/>
    <w:rsid w:val="00B91995"/>
    <w:rsid w:val="00B91AE8"/>
    <w:rsid w:val="00B933B6"/>
    <w:rsid w:val="00B93F93"/>
    <w:rsid w:val="00B95011"/>
    <w:rsid w:val="00B953FB"/>
    <w:rsid w:val="00B95420"/>
    <w:rsid w:val="00B95C12"/>
    <w:rsid w:val="00B95F71"/>
    <w:rsid w:val="00B96F7D"/>
    <w:rsid w:val="00B97821"/>
    <w:rsid w:val="00BA0880"/>
    <w:rsid w:val="00BA124A"/>
    <w:rsid w:val="00BA1F17"/>
    <w:rsid w:val="00BA2E65"/>
    <w:rsid w:val="00BA2EF2"/>
    <w:rsid w:val="00BA30FD"/>
    <w:rsid w:val="00BA325E"/>
    <w:rsid w:val="00BA32B5"/>
    <w:rsid w:val="00BA338E"/>
    <w:rsid w:val="00BA4114"/>
    <w:rsid w:val="00BA4E9F"/>
    <w:rsid w:val="00BA6615"/>
    <w:rsid w:val="00BB0108"/>
    <w:rsid w:val="00BB0424"/>
    <w:rsid w:val="00BB0B8D"/>
    <w:rsid w:val="00BB1995"/>
    <w:rsid w:val="00BB2840"/>
    <w:rsid w:val="00BB2B32"/>
    <w:rsid w:val="00BB3755"/>
    <w:rsid w:val="00BB4669"/>
    <w:rsid w:val="00BB4799"/>
    <w:rsid w:val="00BB4911"/>
    <w:rsid w:val="00BB4A00"/>
    <w:rsid w:val="00BB4D8C"/>
    <w:rsid w:val="00BB58B4"/>
    <w:rsid w:val="00BB6895"/>
    <w:rsid w:val="00BB6EB3"/>
    <w:rsid w:val="00BC0858"/>
    <w:rsid w:val="00BC0F9A"/>
    <w:rsid w:val="00BC1537"/>
    <w:rsid w:val="00BC1ACA"/>
    <w:rsid w:val="00BC3315"/>
    <w:rsid w:val="00BC478C"/>
    <w:rsid w:val="00BC486D"/>
    <w:rsid w:val="00BC4C8E"/>
    <w:rsid w:val="00BC5AC0"/>
    <w:rsid w:val="00BC619F"/>
    <w:rsid w:val="00BC66B6"/>
    <w:rsid w:val="00BC74DF"/>
    <w:rsid w:val="00BD0D38"/>
    <w:rsid w:val="00BD181A"/>
    <w:rsid w:val="00BD2BF7"/>
    <w:rsid w:val="00BD33DE"/>
    <w:rsid w:val="00BD3B6D"/>
    <w:rsid w:val="00BD6432"/>
    <w:rsid w:val="00BD6E8D"/>
    <w:rsid w:val="00BD7A4F"/>
    <w:rsid w:val="00BD7F7E"/>
    <w:rsid w:val="00BE0AA2"/>
    <w:rsid w:val="00BE0B15"/>
    <w:rsid w:val="00BE2014"/>
    <w:rsid w:val="00BE20C8"/>
    <w:rsid w:val="00BE2610"/>
    <w:rsid w:val="00BE26AB"/>
    <w:rsid w:val="00BE2F4C"/>
    <w:rsid w:val="00BE3881"/>
    <w:rsid w:val="00BE4369"/>
    <w:rsid w:val="00BE491C"/>
    <w:rsid w:val="00BE49F4"/>
    <w:rsid w:val="00BE55D0"/>
    <w:rsid w:val="00BE62FB"/>
    <w:rsid w:val="00BE7670"/>
    <w:rsid w:val="00BF0469"/>
    <w:rsid w:val="00BF140B"/>
    <w:rsid w:val="00BF3129"/>
    <w:rsid w:val="00BF34D7"/>
    <w:rsid w:val="00BF4888"/>
    <w:rsid w:val="00BF5F8D"/>
    <w:rsid w:val="00BF775F"/>
    <w:rsid w:val="00C00394"/>
    <w:rsid w:val="00C00AF0"/>
    <w:rsid w:val="00C01D05"/>
    <w:rsid w:val="00C01ED5"/>
    <w:rsid w:val="00C028BF"/>
    <w:rsid w:val="00C03CAE"/>
    <w:rsid w:val="00C03DD1"/>
    <w:rsid w:val="00C0449F"/>
    <w:rsid w:val="00C05103"/>
    <w:rsid w:val="00C05A25"/>
    <w:rsid w:val="00C1022B"/>
    <w:rsid w:val="00C10382"/>
    <w:rsid w:val="00C10451"/>
    <w:rsid w:val="00C105F0"/>
    <w:rsid w:val="00C107FC"/>
    <w:rsid w:val="00C10EDD"/>
    <w:rsid w:val="00C1139A"/>
    <w:rsid w:val="00C13466"/>
    <w:rsid w:val="00C14281"/>
    <w:rsid w:val="00C14A07"/>
    <w:rsid w:val="00C14B12"/>
    <w:rsid w:val="00C15071"/>
    <w:rsid w:val="00C15C22"/>
    <w:rsid w:val="00C17408"/>
    <w:rsid w:val="00C17A3E"/>
    <w:rsid w:val="00C20F57"/>
    <w:rsid w:val="00C23643"/>
    <w:rsid w:val="00C236C9"/>
    <w:rsid w:val="00C238D3"/>
    <w:rsid w:val="00C23CEA"/>
    <w:rsid w:val="00C23D89"/>
    <w:rsid w:val="00C24763"/>
    <w:rsid w:val="00C25487"/>
    <w:rsid w:val="00C25D8D"/>
    <w:rsid w:val="00C268C4"/>
    <w:rsid w:val="00C27C09"/>
    <w:rsid w:val="00C317E3"/>
    <w:rsid w:val="00C324F3"/>
    <w:rsid w:val="00C337DD"/>
    <w:rsid w:val="00C33E85"/>
    <w:rsid w:val="00C340FC"/>
    <w:rsid w:val="00C341E0"/>
    <w:rsid w:val="00C3456B"/>
    <w:rsid w:val="00C34643"/>
    <w:rsid w:val="00C35358"/>
    <w:rsid w:val="00C354AD"/>
    <w:rsid w:val="00C3649E"/>
    <w:rsid w:val="00C366FA"/>
    <w:rsid w:val="00C37075"/>
    <w:rsid w:val="00C37683"/>
    <w:rsid w:val="00C37B16"/>
    <w:rsid w:val="00C40525"/>
    <w:rsid w:val="00C40D07"/>
    <w:rsid w:val="00C40EA9"/>
    <w:rsid w:val="00C41357"/>
    <w:rsid w:val="00C419A8"/>
    <w:rsid w:val="00C41E20"/>
    <w:rsid w:val="00C420FC"/>
    <w:rsid w:val="00C42FA1"/>
    <w:rsid w:val="00C44902"/>
    <w:rsid w:val="00C44EF5"/>
    <w:rsid w:val="00C45B3A"/>
    <w:rsid w:val="00C476D4"/>
    <w:rsid w:val="00C478BE"/>
    <w:rsid w:val="00C511E2"/>
    <w:rsid w:val="00C53B6D"/>
    <w:rsid w:val="00C53FF9"/>
    <w:rsid w:val="00C559E3"/>
    <w:rsid w:val="00C57A86"/>
    <w:rsid w:val="00C6026F"/>
    <w:rsid w:val="00C60D16"/>
    <w:rsid w:val="00C61B71"/>
    <w:rsid w:val="00C64538"/>
    <w:rsid w:val="00C645BB"/>
    <w:rsid w:val="00C6694A"/>
    <w:rsid w:val="00C67A39"/>
    <w:rsid w:val="00C70305"/>
    <w:rsid w:val="00C71D9D"/>
    <w:rsid w:val="00C735A3"/>
    <w:rsid w:val="00C737A0"/>
    <w:rsid w:val="00C73BAC"/>
    <w:rsid w:val="00C74FD1"/>
    <w:rsid w:val="00C75BC9"/>
    <w:rsid w:val="00C7618F"/>
    <w:rsid w:val="00C76FD2"/>
    <w:rsid w:val="00C77F6B"/>
    <w:rsid w:val="00C8008D"/>
    <w:rsid w:val="00C81D7A"/>
    <w:rsid w:val="00C8475B"/>
    <w:rsid w:val="00C85551"/>
    <w:rsid w:val="00C85D29"/>
    <w:rsid w:val="00C87185"/>
    <w:rsid w:val="00C905A1"/>
    <w:rsid w:val="00C90DC1"/>
    <w:rsid w:val="00C911AF"/>
    <w:rsid w:val="00C912EB"/>
    <w:rsid w:val="00C91B2C"/>
    <w:rsid w:val="00C91BB2"/>
    <w:rsid w:val="00C92520"/>
    <w:rsid w:val="00C92AF0"/>
    <w:rsid w:val="00C9355A"/>
    <w:rsid w:val="00C937EB"/>
    <w:rsid w:val="00C938E2"/>
    <w:rsid w:val="00C9395C"/>
    <w:rsid w:val="00C96003"/>
    <w:rsid w:val="00C96151"/>
    <w:rsid w:val="00C97F1B"/>
    <w:rsid w:val="00CA12CC"/>
    <w:rsid w:val="00CA1D6A"/>
    <w:rsid w:val="00CA2922"/>
    <w:rsid w:val="00CA2A0B"/>
    <w:rsid w:val="00CA2DF0"/>
    <w:rsid w:val="00CA3F0F"/>
    <w:rsid w:val="00CA68F3"/>
    <w:rsid w:val="00CA71FA"/>
    <w:rsid w:val="00CA7CBD"/>
    <w:rsid w:val="00CA7D96"/>
    <w:rsid w:val="00CB0065"/>
    <w:rsid w:val="00CB0543"/>
    <w:rsid w:val="00CB173B"/>
    <w:rsid w:val="00CB1B62"/>
    <w:rsid w:val="00CB291B"/>
    <w:rsid w:val="00CB3BC2"/>
    <w:rsid w:val="00CB3ED3"/>
    <w:rsid w:val="00CB4911"/>
    <w:rsid w:val="00CB5B17"/>
    <w:rsid w:val="00CB7365"/>
    <w:rsid w:val="00CC0762"/>
    <w:rsid w:val="00CC0EBA"/>
    <w:rsid w:val="00CC1011"/>
    <w:rsid w:val="00CC3D8C"/>
    <w:rsid w:val="00CC412D"/>
    <w:rsid w:val="00CC5D51"/>
    <w:rsid w:val="00CC6D40"/>
    <w:rsid w:val="00CD1478"/>
    <w:rsid w:val="00CD152C"/>
    <w:rsid w:val="00CD21BA"/>
    <w:rsid w:val="00CD5681"/>
    <w:rsid w:val="00CD68A2"/>
    <w:rsid w:val="00CD6999"/>
    <w:rsid w:val="00CD7087"/>
    <w:rsid w:val="00CD74E6"/>
    <w:rsid w:val="00CE1D34"/>
    <w:rsid w:val="00CE3BAF"/>
    <w:rsid w:val="00CE580E"/>
    <w:rsid w:val="00CE649B"/>
    <w:rsid w:val="00CE6977"/>
    <w:rsid w:val="00CE6E45"/>
    <w:rsid w:val="00CE7806"/>
    <w:rsid w:val="00CE7A90"/>
    <w:rsid w:val="00CF2835"/>
    <w:rsid w:val="00CF29B1"/>
    <w:rsid w:val="00CF3803"/>
    <w:rsid w:val="00CF3BDC"/>
    <w:rsid w:val="00CF5A59"/>
    <w:rsid w:val="00CF72E6"/>
    <w:rsid w:val="00D00AE2"/>
    <w:rsid w:val="00D02DCC"/>
    <w:rsid w:val="00D02FAC"/>
    <w:rsid w:val="00D05DB7"/>
    <w:rsid w:val="00D06AA7"/>
    <w:rsid w:val="00D06BBE"/>
    <w:rsid w:val="00D102E6"/>
    <w:rsid w:val="00D105BD"/>
    <w:rsid w:val="00D106C3"/>
    <w:rsid w:val="00D10A6B"/>
    <w:rsid w:val="00D10B3E"/>
    <w:rsid w:val="00D1163C"/>
    <w:rsid w:val="00D1230F"/>
    <w:rsid w:val="00D127C4"/>
    <w:rsid w:val="00D12EF8"/>
    <w:rsid w:val="00D13BD3"/>
    <w:rsid w:val="00D14672"/>
    <w:rsid w:val="00D16114"/>
    <w:rsid w:val="00D20F88"/>
    <w:rsid w:val="00D21058"/>
    <w:rsid w:val="00D21784"/>
    <w:rsid w:val="00D21B01"/>
    <w:rsid w:val="00D22A6C"/>
    <w:rsid w:val="00D22CE7"/>
    <w:rsid w:val="00D2364E"/>
    <w:rsid w:val="00D2390D"/>
    <w:rsid w:val="00D23F64"/>
    <w:rsid w:val="00D24BF7"/>
    <w:rsid w:val="00D24F94"/>
    <w:rsid w:val="00D2655D"/>
    <w:rsid w:val="00D30F74"/>
    <w:rsid w:val="00D336FB"/>
    <w:rsid w:val="00D33ACC"/>
    <w:rsid w:val="00D33CF3"/>
    <w:rsid w:val="00D35B65"/>
    <w:rsid w:val="00D36918"/>
    <w:rsid w:val="00D41AFD"/>
    <w:rsid w:val="00D431B6"/>
    <w:rsid w:val="00D432DC"/>
    <w:rsid w:val="00D43A42"/>
    <w:rsid w:val="00D44052"/>
    <w:rsid w:val="00D44348"/>
    <w:rsid w:val="00D44D61"/>
    <w:rsid w:val="00D46B13"/>
    <w:rsid w:val="00D46C34"/>
    <w:rsid w:val="00D50C37"/>
    <w:rsid w:val="00D52E13"/>
    <w:rsid w:val="00D5372C"/>
    <w:rsid w:val="00D5532D"/>
    <w:rsid w:val="00D56E93"/>
    <w:rsid w:val="00D61835"/>
    <w:rsid w:val="00D62014"/>
    <w:rsid w:val="00D627CC"/>
    <w:rsid w:val="00D63027"/>
    <w:rsid w:val="00D6422F"/>
    <w:rsid w:val="00D64509"/>
    <w:rsid w:val="00D66931"/>
    <w:rsid w:val="00D702E0"/>
    <w:rsid w:val="00D72492"/>
    <w:rsid w:val="00D7269A"/>
    <w:rsid w:val="00D74897"/>
    <w:rsid w:val="00D74930"/>
    <w:rsid w:val="00D74DC5"/>
    <w:rsid w:val="00D74F17"/>
    <w:rsid w:val="00D754AE"/>
    <w:rsid w:val="00D75848"/>
    <w:rsid w:val="00D76D0D"/>
    <w:rsid w:val="00D81561"/>
    <w:rsid w:val="00D829E6"/>
    <w:rsid w:val="00D82FC7"/>
    <w:rsid w:val="00D8356B"/>
    <w:rsid w:val="00D8395C"/>
    <w:rsid w:val="00D83A4E"/>
    <w:rsid w:val="00D84F98"/>
    <w:rsid w:val="00D852E2"/>
    <w:rsid w:val="00D870E0"/>
    <w:rsid w:val="00D90EED"/>
    <w:rsid w:val="00D9100E"/>
    <w:rsid w:val="00D91363"/>
    <w:rsid w:val="00D9186F"/>
    <w:rsid w:val="00D933B0"/>
    <w:rsid w:val="00D94A35"/>
    <w:rsid w:val="00D950DF"/>
    <w:rsid w:val="00D96E90"/>
    <w:rsid w:val="00D975CE"/>
    <w:rsid w:val="00DA0F6F"/>
    <w:rsid w:val="00DA211F"/>
    <w:rsid w:val="00DA229F"/>
    <w:rsid w:val="00DA2657"/>
    <w:rsid w:val="00DA2E55"/>
    <w:rsid w:val="00DA3CBD"/>
    <w:rsid w:val="00DA3FEC"/>
    <w:rsid w:val="00DA46B4"/>
    <w:rsid w:val="00DA4BEE"/>
    <w:rsid w:val="00DB054A"/>
    <w:rsid w:val="00DB0D56"/>
    <w:rsid w:val="00DB1B28"/>
    <w:rsid w:val="00DB3680"/>
    <w:rsid w:val="00DB3D7B"/>
    <w:rsid w:val="00DB4930"/>
    <w:rsid w:val="00DB50A6"/>
    <w:rsid w:val="00DB77FC"/>
    <w:rsid w:val="00DB78D8"/>
    <w:rsid w:val="00DB7BA8"/>
    <w:rsid w:val="00DC0778"/>
    <w:rsid w:val="00DC0A31"/>
    <w:rsid w:val="00DC131A"/>
    <w:rsid w:val="00DC2638"/>
    <w:rsid w:val="00DC3250"/>
    <w:rsid w:val="00DC4C52"/>
    <w:rsid w:val="00DD0519"/>
    <w:rsid w:val="00DD2C9A"/>
    <w:rsid w:val="00DD303A"/>
    <w:rsid w:val="00DD3BDA"/>
    <w:rsid w:val="00DD3E0D"/>
    <w:rsid w:val="00DD5397"/>
    <w:rsid w:val="00DD5A08"/>
    <w:rsid w:val="00DD5A6E"/>
    <w:rsid w:val="00DD5D04"/>
    <w:rsid w:val="00DD6421"/>
    <w:rsid w:val="00DD6C0E"/>
    <w:rsid w:val="00DD7FCB"/>
    <w:rsid w:val="00DE0815"/>
    <w:rsid w:val="00DE13A2"/>
    <w:rsid w:val="00DE1491"/>
    <w:rsid w:val="00DE25CE"/>
    <w:rsid w:val="00DE43EE"/>
    <w:rsid w:val="00DE4814"/>
    <w:rsid w:val="00DE6695"/>
    <w:rsid w:val="00DE7E58"/>
    <w:rsid w:val="00DF3213"/>
    <w:rsid w:val="00DF4B88"/>
    <w:rsid w:val="00DF4C91"/>
    <w:rsid w:val="00DF56B0"/>
    <w:rsid w:val="00DF57CE"/>
    <w:rsid w:val="00DF64B9"/>
    <w:rsid w:val="00DF73C7"/>
    <w:rsid w:val="00E004DF"/>
    <w:rsid w:val="00E0175E"/>
    <w:rsid w:val="00E02924"/>
    <w:rsid w:val="00E06923"/>
    <w:rsid w:val="00E06F12"/>
    <w:rsid w:val="00E07CBF"/>
    <w:rsid w:val="00E1011B"/>
    <w:rsid w:val="00E1049E"/>
    <w:rsid w:val="00E11172"/>
    <w:rsid w:val="00E11994"/>
    <w:rsid w:val="00E12189"/>
    <w:rsid w:val="00E14688"/>
    <w:rsid w:val="00E15307"/>
    <w:rsid w:val="00E1562F"/>
    <w:rsid w:val="00E1564E"/>
    <w:rsid w:val="00E16231"/>
    <w:rsid w:val="00E1676B"/>
    <w:rsid w:val="00E170C8"/>
    <w:rsid w:val="00E2003B"/>
    <w:rsid w:val="00E20624"/>
    <w:rsid w:val="00E22791"/>
    <w:rsid w:val="00E2280E"/>
    <w:rsid w:val="00E23B0F"/>
    <w:rsid w:val="00E26A94"/>
    <w:rsid w:val="00E26B0E"/>
    <w:rsid w:val="00E302CB"/>
    <w:rsid w:val="00E3041B"/>
    <w:rsid w:val="00E305D5"/>
    <w:rsid w:val="00E3074C"/>
    <w:rsid w:val="00E331A3"/>
    <w:rsid w:val="00E34E26"/>
    <w:rsid w:val="00E34EC9"/>
    <w:rsid w:val="00E34F8C"/>
    <w:rsid w:val="00E358B0"/>
    <w:rsid w:val="00E3629D"/>
    <w:rsid w:val="00E3637B"/>
    <w:rsid w:val="00E37208"/>
    <w:rsid w:val="00E40D4F"/>
    <w:rsid w:val="00E412DF"/>
    <w:rsid w:val="00E414BE"/>
    <w:rsid w:val="00E41DB3"/>
    <w:rsid w:val="00E42303"/>
    <w:rsid w:val="00E43E3A"/>
    <w:rsid w:val="00E44356"/>
    <w:rsid w:val="00E45B3E"/>
    <w:rsid w:val="00E47708"/>
    <w:rsid w:val="00E47A63"/>
    <w:rsid w:val="00E47BD1"/>
    <w:rsid w:val="00E47E52"/>
    <w:rsid w:val="00E50801"/>
    <w:rsid w:val="00E512C4"/>
    <w:rsid w:val="00E52785"/>
    <w:rsid w:val="00E5383A"/>
    <w:rsid w:val="00E53B95"/>
    <w:rsid w:val="00E5480F"/>
    <w:rsid w:val="00E56796"/>
    <w:rsid w:val="00E5736D"/>
    <w:rsid w:val="00E574FE"/>
    <w:rsid w:val="00E60B35"/>
    <w:rsid w:val="00E612A7"/>
    <w:rsid w:val="00E612CF"/>
    <w:rsid w:val="00E662EA"/>
    <w:rsid w:val="00E66D6B"/>
    <w:rsid w:val="00E67137"/>
    <w:rsid w:val="00E67488"/>
    <w:rsid w:val="00E70674"/>
    <w:rsid w:val="00E71720"/>
    <w:rsid w:val="00E71EB5"/>
    <w:rsid w:val="00E7203D"/>
    <w:rsid w:val="00E72E33"/>
    <w:rsid w:val="00E73B3A"/>
    <w:rsid w:val="00E73F03"/>
    <w:rsid w:val="00E74B51"/>
    <w:rsid w:val="00E75668"/>
    <w:rsid w:val="00E75F84"/>
    <w:rsid w:val="00E7691B"/>
    <w:rsid w:val="00E77522"/>
    <w:rsid w:val="00E809F0"/>
    <w:rsid w:val="00E824AE"/>
    <w:rsid w:val="00E8351B"/>
    <w:rsid w:val="00E8509E"/>
    <w:rsid w:val="00E8537F"/>
    <w:rsid w:val="00E8580D"/>
    <w:rsid w:val="00E8594A"/>
    <w:rsid w:val="00E868D2"/>
    <w:rsid w:val="00E878F6"/>
    <w:rsid w:val="00E87CCA"/>
    <w:rsid w:val="00E9031C"/>
    <w:rsid w:val="00E9068C"/>
    <w:rsid w:val="00E9108D"/>
    <w:rsid w:val="00E928E3"/>
    <w:rsid w:val="00E92929"/>
    <w:rsid w:val="00E94A37"/>
    <w:rsid w:val="00E94A67"/>
    <w:rsid w:val="00E96395"/>
    <w:rsid w:val="00E969D9"/>
    <w:rsid w:val="00E97151"/>
    <w:rsid w:val="00E9751A"/>
    <w:rsid w:val="00E976DD"/>
    <w:rsid w:val="00E97E80"/>
    <w:rsid w:val="00EA0389"/>
    <w:rsid w:val="00EA0491"/>
    <w:rsid w:val="00EA158A"/>
    <w:rsid w:val="00EA1A26"/>
    <w:rsid w:val="00EA4203"/>
    <w:rsid w:val="00EA4A60"/>
    <w:rsid w:val="00EA62E9"/>
    <w:rsid w:val="00EA6576"/>
    <w:rsid w:val="00EA71E8"/>
    <w:rsid w:val="00EB36AC"/>
    <w:rsid w:val="00EB50D3"/>
    <w:rsid w:val="00EB730E"/>
    <w:rsid w:val="00EC01CC"/>
    <w:rsid w:val="00EC0A2F"/>
    <w:rsid w:val="00EC13C1"/>
    <w:rsid w:val="00EC1EFC"/>
    <w:rsid w:val="00EC2AC0"/>
    <w:rsid w:val="00EC34E4"/>
    <w:rsid w:val="00EC5555"/>
    <w:rsid w:val="00EC6830"/>
    <w:rsid w:val="00EC6B1D"/>
    <w:rsid w:val="00EC6FCD"/>
    <w:rsid w:val="00EC7E3D"/>
    <w:rsid w:val="00ED1B58"/>
    <w:rsid w:val="00ED4153"/>
    <w:rsid w:val="00ED5252"/>
    <w:rsid w:val="00ED58B7"/>
    <w:rsid w:val="00ED5FA8"/>
    <w:rsid w:val="00ED6898"/>
    <w:rsid w:val="00ED6D56"/>
    <w:rsid w:val="00ED6EAF"/>
    <w:rsid w:val="00ED7A0B"/>
    <w:rsid w:val="00EE06F9"/>
    <w:rsid w:val="00EE0BFE"/>
    <w:rsid w:val="00EE0C36"/>
    <w:rsid w:val="00EE1317"/>
    <w:rsid w:val="00EE212D"/>
    <w:rsid w:val="00EE298F"/>
    <w:rsid w:val="00EE3AA3"/>
    <w:rsid w:val="00EE4CE8"/>
    <w:rsid w:val="00EE4F62"/>
    <w:rsid w:val="00EE558D"/>
    <w:rsid w:val="00EE70EA"/>
    <w:rsid w:val="00EE713A"/>
    <w:rsid w:val="00EE7C45"/>
    <w:rsid w:val="00EE7C9F"/>
    <w:rsid w:val="00EF1CAA"/>
    <w:rsid w:val="00EF1E69"/>
    <w:rsid w:val="00EF3051"/>
    <w:rsid w:val="00EF39EF"/>
    <w:rsid w:val="00EF552E"/>
    <w:rsid w:val="00EF7579"/>
    <w:rsid w:val="00EF7E03"/>
    <w:rsid w:val="00F0137D"/>
    <w:rsid w:val="00F01454"/>
    <w:rsid w:val="00F014FE"/>
    <w:rsid w:val="00F0155A"/>
    <w:rsid w:val="00F017D2"/>
    <w:rsid w:val="00F01850"/>
    <w:rsid w:val="00F01A0C"/>
    <w:rsid w:val="00F01E17"/>
    <w:rsid w:val="00F0254E"/>
    <w:rsid w:val="00F02E86"/>
    <w:rsid w:val="00F0310D"/>
    <w:rsid w:val="00F03674"/>
    <w:rsid w:val="00F03688"/>
    <w:rsid w:val="00F03921"/>
    <w:rsid w:val="00F05351"/>
    <w:rsid w:val="00F0601C"/>
    <w:rsid w:val="00F06163"/>
    <w:rsid w:val="00F0711C"/>
    <w:rsid w:val="00F07249"/>
    <w:rsid w:val="00F07469"/>
    <w:rsid w:val="00F077D2"/>
    <w:rsid w:val="00F10206"/>
    <w:rsid w:val="00F106BF"/>
    <w:rsid w:val="00F11A15"/>
    <w:rsid w:val="00F12BC1"/>
    <w:rsid w:val="00F1395A"/>
    <w:rsid w:val="00F139B9"/>
    <w:rsid w:val="00F13EC6"/>
    <w:rsid w:val="00F14416"/>
    <w:rsid w:val="00F158BD"/>
    <w:rsid w:val="00F159EA"/>
    <w:rsid w:val="00F20ED0"/>
    <w:rsid w:val="00F21733"/>
    <w:rsid w:val="00F21816"/>
    <w:rsid w:val="00F218E1"/>
    <w:rsid w:val="00F22A61"/>
    <w:rsid w:val="00F22B55"/>
    <w:rsid w:val="00F22C7D"/>
    <w:rsid w:val="00F230EB"/>
    <w:rsid w:val="00F23D56"/>
    <w:rsid w:val="00F2438E"/>
    <w:rsid w:val="00F2494D"/>
    <w:rsid w:val="00F24CFD"/>
    <w:rsid w:val="00F2574B"/>
    <w:rsid w:val="00F25B80"/>
    <w:rsid w:val="00F2636E"/>
    <w:rsid w:val="00F273FA"/>
    <w:rsid w:val="00F315B1"/>
    <w:rsid w:val="00F31602"/>
    <w:rsid w:val="00F31786"/>
    <w:rsid w:val="00F32245"/>
    <w:rsid w:val="00F329CA"/>
    <w:rsid w:val="00F334FF"/>
    <w:rsid w:val="00F338A9"/>
    <w:rsid w:val="00F35735"/>
    <w:rsid w:val="00F3599E"/>
    <w:rsid w:val="00F36CA5"/>
    <w:rsid w:val="00F37583"/>
    <w:rsid w:val="00F37CE2"/>
    <w:rsid w:val="00F4026E"/>
    <w:rsid w:val="00F41594"/>
    <w:rsid w:val="00F41B5E"/>
    <w:rsid w:val="00F41C53"/>
    <w:rsid w:val="00F42F28"/>
    <w:rsid w:val="00F43615"/>
    <w:rsid w:val="00F44EC5"/>
    <w:rsid w:val="00F462DD"/>
    <w:rsid w:val="00F463AF"/>
    <w:rsid w:val="00F47911"/>
    <w:rsid w:val="00F523A7"/>
    <w:rsid w:val="00F52A58"/>
    <w:rsid w:val="00F5364A"/>
    <w:rsid w:val="00F54225"/>
    <w:rsid w:val="00F54925"/>
    <w:rsid w:val="00F54E6A"/>
    <w:rsid w:val="00F555A9"/>
    <w:rsid w:val="00F60BA3"/>
    <w:rsid w:val="00F60E78"/>
    <w:rsid w:val="00F64BEF"/>
    <w:rsid w:val="00F653BD"/>
    <w:rsid w:val="00F656A0"/>
    <w:rsid w:val="00F65858"/>
    <w:rsid w:val="00F665E5"/>
    <w:rsid w:val="00F668C8"/>
    <w:rsid w:val="00F6712D"/>
    <w:rsid w:val="00F7002E"/>
    <w:rsid w:val="00F71923"/>
    <w:rsid w:val="00F71B45"/>
    <w:rsid w:val="00F72B94"/>
    <w:rsid w:val="00F72C1A"/>
    <w:rsid w:val="00F72E45"/>
    <w:rsid w:val="00F7419B"/>
    <w:rsid w:val="00F76EDC"/>
    <w:rsid w:val="00F7748D"/>
    <w:rsid w:val="00F80E90"/>
    <w:rsid w:val="00F818E3"/>
    <w:rsid w:val="00F8211C"/>
    <w:rsid w:val="00F83CDF"/>
    <w:rsid w:val="00F83FD4"/>
    <w:rsid w:val="00F84CDB"/>
    <w:rsid w:val="00F85C15"/>
    <w:rsid w:val="00F861DA"/>
    <w:rsid w:val="00F8781C"/>
    <w:rsid w:val="00F87A1E"/>
    <w:rsid w:val="00F907AE"/>
    <w:rsid w:val="00F907DE"/>
    <w:rsid w:val="00F90E72"/>
    <w:rsid w:val="00F92676"/>
    <w:rsid w:val="00F92B4D"/>
    <w:rsid w:val="00F9433A"/>
    <w:rsid w:val="00F9469C"/>
    <w:rsid w:val="00F94C36"/>
    <w:rsid w:val="00F94DC2"/>
    <w:rsid w:val="00F963B2"/>
    <w:rsid w:val="00F9748D"/>
    <w:rsid w:val="00FA010E"/>
    <w:rsid w:val="00FA10AD"/>
    <w:rsid w:val="00FA1216"/>
    <w:rsid w:val="00FA1C6B"/>
    <w:rsid w:val="00FA2728"/>
    <w:rsid w:val="00FA5FD5"/>
    <w:rsid w:val="00FA6555"/>
    <w:rsid w:val="00FA68A4"/>
    <w:rsid w:val="00FA691D"/>
    <w:rsid w:val="00FA6BEB"/>
    <w:rsid w:val="00FA6D69"/>
    <w:rsid w:val="00FB2B8F"/>
    <w:rsid w:val="00FB412F"/>
    <w:rsid w:val="00FB5474"/>
    <w:rsid w:val="00FB5655"/>
    <w:rsid w:val="00FB59FC"/>
    <w:rsid w:val="00FB642F"/>
    <w:rsid w:val="00FB64AE"/>
    <w:rsid w:val="00FC0026"/>
    <w:rsid w:val="00FC0792"/>
    <w:rsid w:val="00FC0843"/>
    <w:rsid w:val="00FC0DB9"/>
    <w:rsid w:val="00FC1517"/>
    <w:rsid w:val="00FC1F4D"/>
    <w:rsid w:val="00FC2A32"/>
    <w:rsid w:val="00FC3091"/>
    <w:rsid w:val="00FC329E"/>
    <w:rsid w:val="00FC366F"/>
    <w:rsid w:val="00FC389D"/>
    <w:rsid w:val="00FC3ED8"/>
    <w:rsid w:val="00FC49CF"/>
    <w:rsid w:val="00FC4A0C"/>
    <w:rsid w:val="00FC59F9"/>
    <w:rsid w:val="00FC6CA0"/>
    <w:rsid w:val="00FC76D5"/>
    <w:rsid w:val="00FC7C59"/>
    <w:rsid w:val="00FD0388"/>
    <w:rsid w:val="00FD0AD2"/>
    <w:rsid w:val="00FD128B"/>
    <w:rsid w:val="00FD1806"/>
    <w:rsid w:val="00FD19FC"/>
    <w:rsid w:val="00FD27C1"/>
    <w:rsid w:val="00FD28C0"/>
    <w:rsid w:val="00FD497A"/>
    <w:rsid w:val="00FD64A3"/>
    <w:rsid w:val="00FD6677"/>
    <w:rsid w:val="00FD6A43"/>
    <w:rsid w:val="00FD72AC"/>
    <w:rsid w:val="00FE02EA"/>
    <w:rsid w:val="00FE1AF3"/>
    <w:rsid w:val="00FE4346"/>
    <w:rsid w:val="00FE44AA"/>
    <w:rsid w:val="00FE567B"/>
    <w:rsid w:val="00FE7641"/>
    <w:rsid w:val="00FE7A4D"/>
    <w:rsid w:val="00FF097F"/>
    <w:rsid w:val="00FF1C98"/>
    <w:rsid w:val="00FF634D"/>
    <w:rsid w:val="00FF74EB"/>
    <w:rsid w:val="011C0918"/>
    <w:rsid w:val="05AC4D58"/>
    <w:rsid w:val="05BF0231"/>
    <w:rsid w:val="07AA5CA9"/>
    <w:rsid w:val="08F65CDF"/>
    <w:rsid w:val="08FC0F32"/>
    <w:rsid w:val="0A256191"/>
    <w:rsid w:val="0A61492E"/>
    <w:rsid w:val="0A694EBA"/>
    <w:rsid w:val="10E87F97"/>
    <w:rsid w:val="11B649F8"/>
    <w:rsid w:val="12321E92"/>
    <w:rsid w:val="1448764C"/>
    <w:rsid w:val="15D36A87"/>
    <w:rsid w:val="15E72156"/>
    <w:rsid w:val="170E68D4"/>
    <w:rsid w:val="179C57E6"/>
    <w:rsid w:val="1843191D"/>
    <w:rsid w:val="18D01276"/>
    <w:rsid w:val="191A47D4"/>
    <w:rsid w:val="1BF22A97"/>
    <w:rsid w:val="1DF919CC"/>
    <w:rsid w:val="1ED9412F"/>
    <w:rsid w:val="229F06B0"/>
    <w:rsid w:val="23A51DA6"/>
    <w:rsid w:val="23A56DAC"/>
    <w:rsid w:val="240B439A"/>
    <w:rsid w:val="27EF792B"/>
    <w:rsid w:val="281D7DA9"/>
    <w:rsid w:val="28685DC9"/>
    <w:rsid w:val="28C53AD8"/>
    <w:rsid w:val="2AEE3220"/>
    <w:rsid w:val="2B863FEF"/>
    <w:rsid w:val="2C557DCC"/>
    <w:rsid w:val="2D105BFB"/>
    <w:rsid w:val="2E593183"/>
    <w:rsid w:val="2ECB03C6"/>
    <w:rsid w:val="2FB0013B"/>
    <w:rsid w:val="310D4306"/>
    <w:rsid w:val="320A4A93"/>
    <w:rsid w:val="33535DE3"/>
    <w:rsid w:val="33BA356A"/>
    <w:rsid w:val="34964F57"/>
    <w:rsid w:val="3568683D"/>
    <w:rsid w:val="35CA015C"/>
    <w:rsid w:val="35DB6EEF"/>
    <w:rsid w:val="38D738F5"/>
    <w:rsid w:val="3A3C5EAF"/>
    <w:rsid w:val="3C9B6A2E"/>
    <w:rsid w:val="3CA7583E"/>
    <w:rsid w:val="3E3C150F"/>
    <w:rsid w:val="3EC75F06"/>
    <w:rsid w:val="42274EA2"/>
    <w:rsid w:val="454D4CAD"/>
    <w:rsid w:val="459B2240"/>
    <w:rsid w:val="45D74202"/>
    <w:rsid w:val="474A384B"/>
    <w:rsid w:val="49A74DE9"/>
    <w:rsid w:val="4C92328A"/>
    <w:rsid w:val="4D980738"/>
    <w:rsid w:val="4E310603"/>
    <w:rsid w:val="4F15312D"/>
    <w:rsid w:val="4F8172FD"/>
    <w:rsid w:val="4FE02773"/>
    <w:rsid w:val="503F4163"/>
    <w:rsid w:val="515E160B"/>
    <w:rsid w:val="51874201"/>
    <w:rsid w:val="52B90D15"/>
    <w:rsid w:val="532022FE"/>
    <w:rsid w:val="537E67B0"/>
    <w:rsid w:val="54793847"/>
    <w:rsid w:val="565515AF"/>
    <w:rsid w:val="56CD0BD8"/>
    <w:rsid w:val="56F80AD1"/>
    <w:rsid w:val="597B51DC"/>
    <w:rsid w:val="5BCA3C69"/>
    <w:rsid w:val="5F1E40AA"/>
    <w:rsid w:val="5F5B2035"/>
    <w:rsid w:val="612B4302"/>
    <w:rsid w:val="639B2DB3"/>
    <w:rsid w:val="67DE4AEC"/>
    <w:rsid w:val="6A200B44"/>
    <w:rsid w:val="6FBC64C1"/>
    <w:rsid w:val="70640DA5"/>
    <w:rsid w:val="70F47FA6"/>
    <w:rsid w:val="71EF114A"/>
    <w:rsid w:val="732636C4"/>
    <w:rsid w:val="73C477CD"/>
    <w:rsid w:val="76647753"/>
    <w:rsid w:val="766E3CC1"/>
    <w:rsid w:val="791533CB"/>
    <w:rsid w:val="79C243E1"/>
    <w:rsid w:val="79E01293"/>
    <w:rsid w:val="7C4760F1"/>
    <w:rsid w:val="7C912504"/>
    <w:rsid w:val="7F740C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0"/>
    <w:semiHidden/>
    <w:unhideWhenUsed/>
    <w:qFormat/>
    <w:uiPriority w:val="99"/>
    <w:rPr>
      <w:rFonts w:ascii="宋体"/>
      <w:sz w:val="18"/>
      <w:szCs w:val="18"/>
    </w:rPr>
  </w:style>
  <w:style w:type="paragraph" w:styleId="4">
    <w:name w:val="annotation text"/>
    <w:basedOn w:val="1"/>
    <w:link w:val="24"/>
    <w:autoRedefine/>
    <w:semiHidden/>
    <w:unhideWhenUsed/>
    <w:qFormat/>
    <w:uiPriority w:val="99"/>
    <w:pPr>
      <w:jc w:val="left"/>
    </w:pPr>
  </w:style>
  <w:style w:type="paragraph" w:styleId="5">
    <w:name w:val="Balloon Text"/>
    <w:basedOn w:val="1"/>
    <w:link w:val="23"/>
    <w:semiHidden/>
    <w:unhideWhenUsed/>
    <w:qFormat/>
    <w:uiPriority w:val="99"/>
    <w:rPr>
      <w:sz w:val="18"/>
      <w:szCs w:val="18"/>
    </w:rPr>
  </w:style>
  <w:style w:type="paragraph" w:styleId="6">
    <w:name w:val="footer"/>
    <w:basedOn w:val="1"/>
    <w:link w:val="19"/>
    <w:unhideWhenUsed/>
    <w:qFormat/>
    <w:uiPriority w:val="0"/>
    <w:pPr>
      <w:tabs>
        <w:tab w:val="center" w:pos="4153"/>
        <w:tab w:val="right" w:pos="8306"/>
      </w:tabs>
      <w:snapToGrid w:val="0"/>
      <w:jc w:val="left"/>
    </w:pPr>
    <w:rPr>
      <w:rFonts w:ascii="Calibri" w:hAnsi="Calibri"/>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footnote text"/>
    <w:basedOn w:val="1"/>
    <w:link w:val="21"/>
    <w:unhideWhenUsed/>
    <w:qFormat/>
    <w:uiPriority w:val="0"/>
    <w:pPr>
      <w:snapToGrid w:val="0"/>
      <w:jc w:val="left"/>
    </w:pPr>
    <w:rPr>
      <w:sz w:val="18"/>
      <w:szCs w:val="18"/>
    </w:rPr>
  </w:style>
  <w:style w:type="paragraph" w:styleId="9">
    <w:name w:val="Body Text Indent 3"/>
    <w:basedOn w:val="1"/>
    <w:link w:val="20"/>
    <w:qFormat/>
    <w:uiPriority w:val="0"/>
    <w:pPr>
      <w:ind w:firstLine="560" w:firstLineChars="200"/>
    </w:pPr>
    <w:rPr>
      <w:color w:val="000000"/>
      <w:sz w:val="28"/>
    </w:rPr>
  </w:style>
  <w:style w:type="paragraph" w:styleId="10">
    <w:name w:val="annotation subject"/>
    <w:basedOn w:val="4"/>
    <w:next w:val="4"/>
    <w:link w:val="25"/>
    <w:semiHidden/>
    <w:unhideWhenUsed/>
    <w:qFormat/>
    <w:uiPriority w:val="99"/>
    <w:rPr>
      <w:b/>
      <w:bCs/>
    </w:rPr>
  </w:style>
  <w:style w:type="table" w:styleId="12">
    <w:name w:val="Table Grid"/>
    <w:basedOn w:val="1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styleId="16">
    <w:name w:val="annotation reference"/>
    <w:basedOn w:val="13"/>
    <w:semiHidden/>
    <w:unhideWhenUsed/>
    <w:qFormat/>
    <w:uiPriority w:val="99"/>
    <w:rPr>
      <w:sz w:val="21"/>
      <w:szCs w:val="21"/>
    </w:rPr>
  </w:style>
  <w:style w:type="character" w:styleId="17">
    <w:name w:val="footnote reference"/>
    <w:basedOn w:val="13"/>
    <w:semiHidden/>
    <w:unhideWhenUsed/>
    <w:qFormat/>
    <w:uiPriority w:val="99"/>
    <w:rPr>
      <w:vertAlign w:val="superscript"/>
    </w:rPr>
  </w:style>
  <w:style w:type="character" w:customStyle="1" w:styleId="18">
    <w:name w:val="页眉 Char"/>
    <w:basedOn w:val="13"/>
    <w:link w:val="7"/>
    <w:autoRedefine/>
    <w:semiHidden/>
    <w:qFormat/>
    <w:uiPriority w:val="99"/>
    <w:rPr>
      <w:sz w:val="18"/>
      <w:szCs w:val="18"/>
    </w:rPr>
  </w:style>
  <w:style w:type="character" w:customStyle="1" w:styleId="19">
    <w:name w:val="页脚 Char"/>
    <w:basedOn w:val="13"/>
    <w:link w:val="6"/>
    <w:autoRedefine/>
    <w:semiHidden/>
    <w:qFormat/>
    <w:uiPriority w:val="99"/>
    <w:rPr>
      <w:sz w:val="18"/>
      <w:szCs w:val="18"/>
    </w:rPr>
  </w:style>
  <w:style w:type="character" w:customStyle="1" w:styleId="20">
    <w:name w:val="正文文本缩进 3 Char"/>
    <w:basedOn w:val="13"/>
    <w:link w:val="9"/>
    <w:qFormat/>
    <w:uiPriority w:val="0"/>
    <w:rPr>
      <w:rFonts w:ascii="Times New Roman" w:hAnsi="Times New Roman" w:eastAsia="宋体" w:cs="Times New Roman"/>
      <w:color w:val="000000"/>
      <w:sz w:val="28"/>
      <w:szCs w:val="24"/>
    </w:rPr>
  </w:style>
  <w:style w:type="character" w:customStyle="1" w:styleId="21">
    <w:name w:val="脚注文本 Char"/>
    <w:basedOn w:val="13"/>
    <w:link w:val="8"/>
    <w:qFormat/>
    <w:uiPriority w:val="0"/>
    <w:rPr>
      <w:rFonts w:ascii="Times New Roman" w:hAnsi="Times New Roman" w:eastAsia="宋体" w:cs="Times New Roman"/>
      <w:sz w:val="18"/>
      <w:szCs w:val="18"/>
    </w:rPr>
  </w:style>
  <w:style w:type="paragraph" w:styleId="22">
    <w:name w:val="List Paragraph"/>
    <w:basedOn w:val="1"/>
    <w:autoRedefine/>
    <w:qFormat/>
    <w:uiPriority w:val="34"/>
    <w:pPr>
      <w:ind w:firstLine="420" w:firstLineChars="200"/>
    </w:pPr>
  </w:style>
  <w:style w:type="character" w:customStyle="1" w:styleId="23">
    <w:name w:val="批注框文本 Char"/>
    <w:basedOn w:val="13"/>
    <w:link w:val="5"/>
    <w:semiHidden/>
    <w:qFormat/>
    <w:uiPriority w:val="99"/>
    <w:rPr>
      <w:rFonts w:ascii="Times New Roman" w:hAnsi="Times New Roman" w:eastAsia="宋体" w:cs="Times New Roman"/>
      <w:sz w:val="18"/>
      <w:szCs w:val="18"/>
    </w:rPr>
  </w:style>
  <w:style w:type="character" w:customStyle="1" w:styleId="24">
    <w:name w:val="批注文字 Char"/>
    <w:basedOn w:val="13"/>
    <w:link w:val="4"/>
    <w:autoRedefine/>
    <w:semiHidden/>
    <w:qFormat/>
    <w:uiPriority w:val="99"/>
    <w:rPr>
      <w:rFonts w:ascii="Times New Roman" w:hAnsi="Times New Roman" w:eastAsia="宋体" w:cs="Times New Roman"/>
      <w:sz w:val="24"/>
      <w:szCs w:val="24"/>
    </w:rPr>
  </w:style>
  <w:style w:type="character" w:customStyle="1" w:styleId="25">
    <w:name w:val="批注主题 Char"/>
    <w:basedOn w:val="24"/>
    <w:link w:val="10"/>
    <w:autoRedefine/>
    <w:semiHidden/>
    <w:qFormat/>
    <w:uiPriority w:val="99"/>
    <w:rPr>
      <w:rFonts w:ascii="Times New Roman" w:hAnsi="Times New Roman" w:eastAsia="宋体" w:cs="Times New Roman"/>
      <w:b/>
      <w:bCs/>
      <w:sz w:val="24"/>
      <w:szCs w:val="24"/>
    </w:rPr>
  </w:style>
  <w:style w:type="paragraph" w:customStyle="1" w:styleId="26">
    <w:name w:val="修订1"/>
    <w:autoRedefine/>
    <w:hidden/>
    <w:semiHidden/>
    <w:qFormat/>
    <w:uiPriority w:val="99"/>
    <w:rPr>
      <w:rFonts w:ascii="Times New Roman" w:hAnsi="Times New Roman" w:eastAsia="宋体" w:cs="Times New Roman"/>
      <w:kern w:val="2"/>
      <w:sz w:val="24"/>
      <w:szCs w:val="24"/>
      <w:lang w:val="en-US" w:eastAsia="zh-CN" w:bidi="ar-SA"/>
    </w:rPr>
  </w:style>
  <w:style w:type="paragraph" w:customStyle="1" w:styleId="27">
    <w:name w:val="Char Char Char Char Char Char Char"/>
    <w:basedOn w:val="1"/>
    <w:semiHidden/>
    <w:qFormat/>
    <w:uiPriority w:val="0"/>
    <w:rPr>
      <w:sz w:val="21"/>
    </w:rPr>
  </w:style>
  <w:style w:type="paragraph" w:customStyle="1" w:styleId="28">
    <w:name w:val="大标题"/>
    <w:basedOn w:val="1"/>
    <w:qFormat/>
    <w:uiPriority w:val="0"/>
    <w:pPr>
      <w:spacing w:line="560" w:lineRule="exact"/>
      <w:jc w:val="center"/>
    </w:pPr>
    <w:rPr>
      <w:rFonts w:ascii="黑体" w:eastAsia="黑体" w:cs="宋体"/>
      <w:sz w:val="36"/>
      <w:szCs w:val="20"/>
    </w:rPr>
  </w:style>
  <w:style w:type="paragraph" w:customStyle="1" w:styleId="29">
    <w:name w:val="样式 仿宋_GB2312 三号"/>
    <w:basedOn w:val="1"/>
    <w:autoRedefine/>
    <w:qFormat/>
    <w:uiPriority w:val="0"/>
    <w:pPr>
      <w:ind w:firstLine="200" w:firstLineChars="200"/>
    </w:pPr>
    <w:rPr>
      <w:rFonts w:ascii="仿宋_GB2312" w:eastAsia="仿宋_GB2312"/>
      <w:sz w:val="32"/>
      <w:szCs w:val="32"/>
    </w:rPr>
  </w:style>
  <w:style w:type="character" w:customStyle="1" w:styleId="30">
    <w:name w:val="文档结构图 Char"/>
    <w:basedOn w:val="13"/>
    <w:link w:val="3"/>
    <w:autoRedefine/>
    <w:semiHidden/>
    <w:qFormat/>
    <w:uiPriority w:val="99"/>
    <w:rPr>
      <w:rFonts w:ascii="宋体" w:hAnsi="Times New Roman"/>
      <w:kern w:val="2"/>
      <w:sz w:val="18"/>
      <w:szCs w:val="18"/>
    </w:rPr>
  </w:style>
  <w:style w:type="paragraph" w:customStyle="1" w:styleId="31">
    <w:name w:val="样式 样式 仿宋_GB2312 + Times New Roman 首行缩进:  2 字符"/>
    <w:basedOn w:val="32"/>
    <w:qFormat/>
    <w:uiPriority w:val="0"/>
    <w:pPr>
      <w:ind w:firstLine="640"/>
    </w:pPr>
    <w:rPr>
      <w:rFonts w:ascii="Times New Roman" w:cs="宋体"/>
      <w:szCs w:val="20"/>
    </w:rPr>
  </w:style>
  <w:style w:type="paragraph" w:customStyle="1" w:styleId="32">
    <w:name w:val="样式 仿宋_GB2312"/>
    <w:basedOn w:val="1"/>
    <w:autoRedefine/>
    <w:qFormat/>
    <w:uiPriority w:val="0"/>
    <w:pPr>
      <w:ind w:firstLine="200" w:firstLineChars="200"/>
    </w:pPr>
    <w:rPr>
      <w:rFonts w:ascii="仿宋_GB2312"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C79F5-8046-4C49-8203-64FF6386B7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4003</Words>
  <Characters>5201</Characters>
  <Lines>41</Lines>
  <Paragraphs>11</Paragraphs>
  <TotalTime>4</TotalTime>
  <ScaleCrop>false</ScaleCrop>
  <LinksUpToDate>false</LinksUpToDate>
  <CharactersWithSpaces>5218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2020-06-05T07:06:00Z</dcterms:created>
  <dc:creator>微软正版用户</dc:creator>
  <cp:lastModifiedBy>shn</cp:lastModifiedBy>
  <cp:lastPrinted>2022-07-08T10:22:00Z</cp:lastPrinted>
  <dcterms:modified xsi:type="dcterms:W3CDTF">2024-04-28T07:23:20Z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17B192DC6A9A4963887DB3C86C7DA2ED_13</vt:lpwstr>
  </property>
</Properties>
</file>