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sz w:val="36"/>
          <w:szCs w:val="36"/>
        </w:rPr>
      </w:pPr>
      <w:r>
        <w:rPr>
          <w:rFonts w:hint="eastAsia"/>
          <w:sz w:val="36"/>
          <w:szCs w:val="36"/>
        </w:rPr>
        <w:t>202</w:t>
      </w:r>
      <w:r>
        <w:rPr>
          <w:rFonts w:hint="eastAsia"/>
          <w:sz w:val="36"/>
          <w:szCs w:val="36"/>
          <w:lang w:val="en-US" w:eastAsia="zh-CN"/>
        </w:rPr>
        <w:t>2</w:t>
      </w:r>
      <w:r>
        <w:rPr>
          <w:rFonts w:hint="eastAsia"/>
          <w:sz w:val="36"/>
          <w:szCs w:val="36"/>
        </w:rPr>
        <w:t>年度全国饮水型地方性砷中毒</w:t>
      </w:r>
      <w:r>
        <w:rPr>
          <w:rFonts w:hint="eastAsia"/>
          <w:sz w:val="36"/>
          <w:szCs w:val="36"/>
          <w:lang w:val="en-US" w:eastAsia="zh-CN"/>
        </w:rPr>
        <w:t>监测报告（摘要）</w:t>
      </w:r>
    </w:p>
    <w:p>
      <w:pPr>
        <w:pStyle w:val="10"/>
        <w:adjustRightInd w:val="0"/>
        <w:snapToGrid w:val="0"/>
        <w:spacing w:line="360" w:lineRule="auto"/>
        <w:ind w:firstLine="480"/>
        <w:rPr>
          <w:rFonts w:hAnsi="宋体"/>
          <w:bCs/>
          <w:color w:val="auto"/>
          <w:kern w:val="0"/>
          <w:sz w:val="24"/>
        </w:rPr>
      </w:pPr>
      <w:r>
        <w:rPr>
          <w:rFonts w:hint="eastAsia" w:hAnsi="宋体"/>
          <w:bCs/>
          <w:sz w:val="24"/>
          <w:szCs w:val="24"/>
          <w:lang w:val="en-US"/>
        </w:rPr>
        <w:t>按照国家印发</w:t>
      </w:r>
      <w:r>
        <w:rPr>
          <w:rFonts w:hint="eastAsia" w:hAnsi="宋体"/>
          <w:bCs/>
          <w:sz w:val="24"/>
          <w:szCs w:val="24"/>
          <w:lang w:val="en-US" w:eastAsia="zh-CN"/>
        </w:rPr>
        <w:t>的饮水型</w:t>
      </w:r>
      <w:r>
        <w:rPr>
          <w:rFonts w:hint="eastAsia" w:hAnsi="宋体"/>
          <w:bCs/>
          <w:sz w:val="24"/>
          <w:szCs w:val="24"/>
          <w:lang w:val="en-US"/>
        </w:rPr>
        <w:t>地方性</w:t>
      </w:r>
      <w:r>
        <w:rPr>
          <w:rFonts w:hint="eastAsia" w:hAnsi="宋体"/>
          <w:bCs/>
          <w:sz w:val="24"/>
          <w:szCs w:val="24"/>
          <w:lang w:val="en-US" w:eastAsia="zh-CN"/>
        </w:rPr>
        <w:t>砷</w:t>
      </w:r>
      <w:r>
        <w:rPr>
          <w:rFonts w:hint="eastAsia" w:hAnsi="宋体"/>
          <w:bCs/>
          <w:sz w:val="24"/>
          <w:szCs w:val="24"/>
          <w:lang w:val="en-US"/>
        </w:rPr>
        <w:t>中毒监测方案</w:t>
      </w:r>
      <w:r>
        <w:rPr>
          <w:rFonts w:hint="eastAsia" w:hAnsi="宋体"/>
          <w:bCs/>
          <w:sz w:val="24"/>
          <w:szCs w:val="24"/>
          <w:lang w:val="en-US" w:eastAsia="zh-CN"/>
        </w:rPr>
        <w:t>（国卫办疾控函[2019]478号）、饮水型地方性砷中毒消除评价办法（国卫疾控函[2019]169号）以及地方病患者管理服务规范（国卫办疾控函[2019]873号）等相关文件</w:t>
      </w:r>
      <w:r>
        <w:rPr>
          <w:rFonts w:hint="eastAsia" w:hAnsi="宋体"/>
          <w:bCs/>
          <w:sz w:val="24"/>
          <w:szCs w:val="24"/>
          <w:lang w:val="en-US"/>
        </w:rPr>
        <w:t>要求</w:t>
      </w:r>
      <w:r>
        <w:rPr>
          <w:rFonts w:hint="eastAsia" w:hAnsi="宋体"/>
          <w:bCs/>
          <w:color w:val="auto"/>
          <w:kern w:val="0"/>
          <w:sz w:val="24"/>
        </w:rPr>
        <w:t>，全国14个省（自治区）开展了饮水型地方性砷中毒</w:t>
      </w:r>
      <w:r>
        <w:rPr>
          <w:rFonts w:hint="eastAsia" w:hAnsi="宋体"/>
          <w:bCs/>
          <w:sz w:val="24"/>
          <w:szCs w:val="24"/>
          <w:lang w:val="en-US" w:eastAsia="zh-CN"/>
        </w:rPr>
        <w:t>防治工作，</w:t>
      </w:r>
      <w:r>
        <w:rPr>
          <w:rFonts w:hint="eastAsia" w:hAnsi="宋体"/>
          <w:bCs/>
          <w:sz w:val="24"/>
          <w:szCs w:val="24"/>
          <w:lang w:val="en-US"/>
        </w:rPr>
        <w:t>现将</w:t>
      </w:r>
      <w:r>
        <w:rPr>
          <w:rFonts w:hint="eastAsia" w:hAnsi="宋体"/>
          <w:bCs/>
          <w:sz w:val="24"/>
          <w:szCs w:val="24"/>
          <w:lang w:val="en-US" w:eastAsia="zh-CN"/>
        </w:rPr>
        <w:t>工作总结</w:t>
      </w:r>
      <w:r>
        <w:rPr>
          <w:rFonts w:hint="eastAsia" w:hAnsi="宋体"/>
          <w:bCs/>
          <w:color w:val="auto"/>
          <w:kern w:val="0"/>
          <w:sz w:val="24"/>
        </w:rPr>
        <w:t>报告如下。</w:t>
      </w:r>
    </w:p>
    <w:p>
      <w:pPr>
        <w:pStyle w:val="10"/>
        <w:adjustRightInd w:val="0"/>
        <w:snapToGrid w:val="0"/>
        <w:spacing w:line="360" w:lineRule="auto"/>
        <w:ind w:firstLine="482"/>
        <w:outlineLvl w:val="0"/>
        <w:rPr>
          <w:b/>
          <w:bCs/>
          <w:color w:val="auto"/>
          <w:sz w:val="24"/>
        </w:rPr>
      </w:pPr>
      <w:r>
        <w:rPr>
          <w:rFonts w:hAnsi="宋体"/>
          <w:b/>
          <w:bCs/>
          <w:color w:val="auto"/>
          <w:sz w:val="24"/>
        </w:rPr>
        <w:t>一、监测范围、内容及方法</w:t>
      </w:r>
      <w:bookmarkStart w:id="4" w:name="_GoBack"/>
      <w:bookmarkEnd w:id="4"/>
    </w:p>
    <w:p>
      <w:pPr>
        <w:pStyle w:val="10"/>
        <w:adjustRightInd w:val="0"/>
        <w:snapToGrid w:val="0"/>
        <w:spacing w:line="360" w:lineRule="auto"/>
        <w:ind w:firstLine="480"/>
        <w:rPr>
          <w:rFonts w:hAnsi="宋体"/>
          <w:bCs/>
          <w:color w:val="auto"/>
          <w:sz w:val="24"/>
        </w:rPr>
      </w:pPr>
      <w:r>
        <w:rPr>
          <w:rFonts w:hint="eastAsia" w:hAnsi="宋体"/>
          <w:bCs/>
          <w:color w:val="auto"/>
          <w:sz w:val="24"/>
        </w:rPr>
        <w:t>山西、内蒙古、吉林、江苏、安徽、河南、湖北、四川、云南、甘肃、青海、宁夏、新疆等14个省（自治区）的全部饮水型地方性砷中毒病区村和高砷村。调查病区村常住户数、常住人口数、历史（改水之前）水砷含量等。对监测村所有正在和（或）曾经暴露于高砷水的常住人口进行体检，体检率不低于95%，查找新发病例，调查原有病例的转归及变化情况。</w:t>
      </w:r>
    </w:p>
    <w:p>
      <w:pPr>
        <w:pStyle w:val="10"/>
        <w:adjustRightInd w:val="0"/>
        <w:snapToGrid w:val="0"/>
        <w:spacing w:line="360" w:lineRule="auto"/>
        <w:ind w:firstLine="482"/>
        <w:outlineLvl w:val="0"/>
        <w:rPr>
          <w:b/>
          <w:bCs/>
          <w:color w:val="auto"/>
          <w:sz w:val="24"/>
        </w:rPr>
      </w:pPr>
      <w:r>
        <w:rPr>
          <w:rFonts w:hint="eastAsia" w:hAnsi="宋体"/>
          <w:b/>
          <w:bCs/>
          <w:color w:val="auto"/>
          <w:sz w:val="24"/>
          <w:lang w:val="en-US" w:eastAsia="zh-CN"/>
        </w:rPr>
        <w:t>二</w:t>
      </w:r>
      <w:r>
        <w:rPr>
          <w:rFonts w:hAnsi="宋体"/>
          <w:b/>
          <w:bCs/>
          <w:color w:val="auto"/>
          <w:sz w:val="24"/>
        </w:rPr>
        <w:t>、监测结果</w:t>
      </w:r>
    </w:p>
    <w:p>
      <w:pPr>
        <w:pStyle w:val="10"/>
        <w:adjustRightInd w:val="0"/>
        <w:snapToGrid w:val="0"/>
        <w:spacing w:line="360" w:lineRule="auto"/>
        <w:ind w:firstLine="361" w:firstLineChars="150"/>
        <w:outlineLvl w:val="0"/>
        <w:rPr>
          <w:rFonts w:hAnsi="宋体"/>
          <w:b/>
          <w:bCs/>
          <w:color w:val="auto"/>
          <w:sz w:val="24"/>
        </w:rPr>
      </w:pPr>
      <w:bookmarkStart w:id="0" w:name="_Hlk41952649"/>
      <w:r>
        <w:rPr>
          <w:rFonts w:hAnsi="宋体"/>
          <w:b/>
          <w:bCs/>
          <w:color w:val="auto"/>
          <w:sz w:val="24"/>
        </w:rPr>
        <w:t>（一）</w:t>
      </w:r>
      <w:r>
        <w:rPr>
          <w:rFonts w:hint="eastAsia" w:hAnsi="宋体"/>
          <w:b/>
          <w:bCs/>
          <w:color w:val="auto"/>
          <w:sz w:val="24"/>
        </w:rPr>
        <w:t>监测村改水进度及水砷含量</w:t>
      </w:r>
    </w:p>
    <w:p>
      <w:pPr>
        <w:pStyle w:val="10"/>
        <w:adjustRightInd w:val="0"/>
        <w:snapToGrid w:val="0"/>
        <w:spacing w:line="360" w:lineRule="auto"/>
        <w:ind w:firstLine="480"/>
        <w:rPr>
          <w:rFonts w:hAnsi="宋体"/>
          <w:bCs/>
          <w:color w:val="auto"/>
          <w:sz w:val="24"/>
        </w:rPr>
      </w:pPr>
      <w:r>
        <w:rPr>
          <w:rFonts w:hint="eastAsia" w:hAnsi="宋体"/>
          <w:bCs/>
          <w:color w:val="auto"/>
          <w:sz w:val="24"/>
        </w:rPr>
        <w:t>1. 改水进度</w:t>
      </w:r>
    </w:p>
    <w:p>
      <w:pPr>
        <w:pStyle w:val="10"/>
        <w:adjustRightInd w:val="0"/>
        <w:snapToGrid w:val="0"/>
        <w:spacing w:line="360" w:lineRule="auto"/>
        <w:ind w:firstLine="480"/>
        <w:rPr>
          <w:color w:val="auto"/>
          <w:sz w:val="24"/>
        </w:rPr>
      </w:pPr>
      <w:r>
        <w:rPr>
          <w:rFonts w:hint="eastAsia" w:hAnsi="宋体"/>
          <w:bCs/>
          <w:color w:val="auto"/>
          <w:sz w:val="24"/>
        </w:rPr>
        <w:t>本年度1</w:t>
      </w:r>
      <w:r>
        <w:rPr>
          <w:rFonts w:hAnsi="宋体"/>
          <w:bCs/>
          <w:color w:val="auto"/>
          <w:sz w:val="24"/>
        </w:rPr>
        <w:t>4</w:t>
      </w:r>
      <w:r>
        <w:rPr>
          <w:rFonts w:hint="eastAsia" w:hAnsi="宋体"/>
          <w:bCs/>
          <w:color w:val="auto"/>
          <w:sz w:val="24"/>
        </w:rPr>
        <w:t>个省（自治区）共监测120个县，覆盖了25</w:t>
      </w:r>
      <w:r>
        <w:rPr>
          <w:rFonts w:hint="eastAsia" w:hAnsi="宋体"/>
          <w:bCs/>
          <w:color w:val="auto"/>
          <w:sz w:val="24"/>
          <w:lang w:val="en-US" w:eastAsia="zh-CN"/>
        </w:rPr>
        <w:t>47</w:t>
      </w:r>
      <w:r>
        <w:rPr>
          <w:rFonts w:hint="eastAsia" w:hAnsi="宋体"/>
          <w:bCs/>
          <w:color w:val="auto"/>
          <w:sz w:val="24"/>
        </w:rPr>
        <w:t>个自然村，常住户数42.9</w:t>
      </w:r>
      <w:r>
        <w:rPr>
          <w:rFonts w:hint="eastAsia" w:hAnsi="宋体"/>
          <w:bCs/>
          <w:color w:val="auto"/>
          <w:sz w:val="24"/>
          <w:lang w:val="en-US" w:eastAsia="zh-CN"/>
        </w:rPr>
        <w:t>2</w:t>
      </w:r>
      <w:r>
        <w:rPr>
          <w:rFonts w:hint="eastAsia" w:hAnsi="宋体"/>
          <w:bCs/>
          <w:color w:val="auto"/>
          <w:sz w:val="24"/>
        </w:rPr>
        <w:t>万户，常住人口14</w:t>
      </w:r>
      <w:r>
        <w:rPr>
          <w:rFonts w:hint="eastAsia" w:hAnsi="宋体"/>
          <w:bCs/>
          <w:color w:val="auto"/>
          <w:sz w:val="24"/>
          <w:lang w:val="en-US" w:eastAsia="zh-CN"/>
        </w:rPr>
        <w:t>0</w:t>
      </w:r>
      <w:r>
        <w:rPr>
          <w:rFonts w:hint="eastAsia" w:hAnsi="宋体"/>
          <w:bCs/>
          <w:color w:val="auto"/>
          <w:sz w:val="24"/>
        </w:rPr>
        <w:t>.</w:t>
      </w:r>
      <w:r>
        <w:rPr>
          <w:rFonts w:hint="eastAsia" w:hAnsi="宋体"/>
          <w:bCs/>
          <w:color w:val="auto"/>
          <w:sz w:val="24"/>
          <w:lang w:val="en-US" w:eastAsia="zh-CN"/>
        </w:rPr>
        <w:t>57</w:t>
      </w:r>
      <w:r>
        <w:rPr>
          <w:rFonts w:hint="eastAsia" w:hAnsi="宋体"/>
          <w:bCs/>
          <w:color w:val="auto"/>
          <w:sz w:val="24"/>
        </w:rPr>
        <w:t>万人。</w:t>
      </w:r>
      <w:r>
        <w:rPr>
          <w:rFonts w:hint="eastAsia" w:hAnsi="宋体"/>
          <w:bCs/>
          <w:color w:val="auto"/>
          <w:sz w:val="24"/>
          <w:lang w:val="en-US" w:eastAsia="zh-CN"/>
        </w:rPr>
        <w:t>其中，</w:t>
      </w:r>
      <w:r>
        <w:rPr>
          <w:rFonts w:hint="eastAsia" w:hAnsi="宋体"/>
          <w:bCs/>
          <w:color w:val="auto"/>
          <w:sz w:val="24"/>
        </w:rPr>
        <w:t>已改水村254</w:t>
      </w:r>
      <w:r>
        <w:rPr>
          <w:rFonts w:hint="eastAsia" w:hAnsi="宋体"/>
          <w:bCs/>
          <w:color w:val="auto"/>
          <w:sz w:val="24"/>
          <w:lang w:val="en-US" w:eastAsia="zh-CN"/>
        </w:rPr>
        <w:t>0</w:t>
      </w:r>
      <w:r>
        <w:rPr>
          <w:rFonts w:hint="eastAsia" w:hAnsi="宋体"/>
          <w:bCs/>
          <w:color w:val="auto"/>
          <w:sz w:val="24"/>
        </w:rPr>
        <w:t>个，占监测村数的99.</w:t>
      </w:r>
      <w:r>
        <w:rPr>
          <w:rFonts w:hint="eastAsia" w:hAnsi="宋体"/>
          <w:bCs/>
          <w:color w:val="auto"/>
          <w:sz w:val="24"/>
          <w:lang w:val="en-US" w:eastAsia="zh-CN"/>
        </w:rPr>
        <w:t>73</w:t>
      </w:r>
      <w:r>
        <w:rPr>
          <w:rFonts w:hAnsi="宋体"/>
          <w:bCs/>
          <w:color w:val="auto"/>
          <w:sz w:val="24"/>
        </w:rPr>
        <w:t>%</w:t>
      </w:r>
      <w:r>
        <w:rPr>
          <w:rFonts w:hint="eastAsia" w:hAnsi="宋体"/>
          <w:bCs/>
          <w:color w:val="auto"/>
          <w:sz w:val="24"/>
          <w:lang w:eastAsia="zh-CN"/>
        </w:rPr>
        <w:t>，</w:t>
      </w:r>
      <w:r>
        <w:rPr>
          <w:rFonts w:hint="eastAsia" w:hAnsi="宋体"/>
          <w:bCs/>
          <w:color w:val="auto"/>
          <w:sz w:val="24"/>
        </w:rPr>
        <w:t>未改水村</w:t>
      </w:r>
      <w:r>
        <w:rPr>
          <w:rFonts w:hint="eastAsia" w:hAnsi="宋体"/>
          <w:bCs/>
          <w:color w:val="auto"/>
          <w:sz w:val="24"/>
          <w:lang w:val="en-US" w:eastAsia="zh-CN"/>
        </w:rPr>
        <w:t>7</w:t>
      </w:r>
      <w:r>
        <w:rPr>
          <w:rFonts w:hint="eastAsia" w:hAnsi="宋体"/>
          <w:bCs/>
          <w:color w:val="auto"/>
          <w:sz w:val="24"/>
        </w:rPr>
        <w:t>个，占监测村数的0.</w:t>
      </w:r>
      <w:r>
        <w:rPr>
          <w:rFonts w:hint="eastAsia" w:hAnsi="宋体"/>
          <w:bCs/>
          <w:color w:val="auto"/>
          <w:sz w:val="24"/>
          <w:lang w:val="en-US" w:eastAsia="zh-CN"/>
        </w:rPr>
        <w:t>27</w:t>
      </w:r>
      <w:r>
        <w:rPr>
          <w:rFonts w:hAnsi="宋体"/>
          <w:bCs/>
          <w:color w:val="auto"/>
          <w:sz w:val="24"/>
        </w:rPr>
        <w:t>%</w:t>
      </w:r>
      <w:r>
        <w:rPr>
          <w:rFonts w:hint="eastAsia" w:hAnsi="宋体"/>
          <w:bCs/>
          <w:color w:val="auto"/>
          <w:sz w:val="24"/>
        </w:rPr>
        <w:t>。除内蒙古改水率</w:t>
      </w:r>
      <w:r>
        <w:rPr>
          <w:rFonts w:hint="eastAsia" w:hAnsi="宋体"/>
          <w:bCs/>
          <w:color w:val="auto"/>
          <w:sz w:val="24"/>
          <w:lang w:val="en-US" w:eastAsia="zh-CN"/>
        </w:rPr>
        <w:t>为</w:t>
      </w:r>
      <w:r>
        <w:rPr>
          <w:rFonts w:hint="eastAsia" w:hAnsi="宋体"/>
          <w:bCs/>
          <w:color w:val="auto"/>
          <w:sz w:val="24"/>
        </w:rPr>
        <w:t>99.</w:t>
      </w:r>
      <w:r>
        <w:rPr>
          <w:rFonts w:hint="eastAsia" w:hAnsi="宋体"/>
          <w:bCs/>
          <w:color w:val="auto"/>
          <w:sz w:val="24"/>
          <w:lang w:val="en-US" w:eastAsia="zh-CN"/>
        </w:rPr>
        <w:t>40</w:t>
      </w:r>
      <w:r>
        <w:rPr>
          <w:rFonts w:hint="eastAsia" w:hAnsi="宋体"/>
          <w:bCs/>
          <w:color w:val="auto"/>
          <w:sz w:val="24"/>
        </w:rPr>
        <w:t>%外，其他各省（自治区）均已达到100%。</w:t>
      </w:r>
    </w:p>
    <w:p>
      <w:pPr>
        <w:pStyle w:val="10"/>
        <w:numPr>
          <w:ilvl w:val="0"/>
          <w:numId w:val="1"/>
        </w:numPr>
        <w:adjustRightInd w:val="0"/>
        <w:snapToGrid w:val="0"/>
        <w:spacing w:line="360" w:lineRule="auto"/>
        <w:ind w:firstLine="480"/>
        <w:rPr>
          <w:rFonts w:hAnsi="宋体"/>
          <w:bCs/>
          <w:color w:val="auto"/>
          <w:sz w:val="24"/>
        </w:rPr>
      </w:pPr>
      <w:r>
        <w:rPr>
          <w:rFonts w:hint="eastAsia" w:hAnsi="宋体"/>
          <w:bCs/>
          <w:color w:val="auto"/>
          <w:sz w:val="24"/>
        </w:rPr>
        <w:t>改水工程运转情况</w:t>
      </w:r>
    </w:p>
    <w:p>
      <w:pPr>
        <w:pStyle w:val="10"/>
        <w:adjustRightInd w:val="0"/>
        <w:snapToGrid w:val="0"/>
        <w:spacing w:line="360" w:lineRule="auto"/>
        <w:ind w:firstLine="480"/>
        <w:rPr>
          <w:color w:val="auto"/>
          <w:sz w:val="24"/>
        </w:rPr>
      </w:pPr>
      <w:r>
        <w:rPr>
          <w:rFonts w:hint="eastAsia" w:hAnsi="宋体"/>
          <w:bCs/>
          <w:color w:val="auto"/>
          <w:sz w:val="24"/>
        </w:rPr>
        <w:t>在254</w:t>
      </w:r>
      <w:r>
        <w:rPr>
          <w:rFonts w:hint="eastAsia" w:hAnsi="宋体"/>
          <w:bCs/>
          <w:color w:val="auto"/>
          <w:sz w:val="24"/>
          <w:lang w:val="en-US" w:eastAsia="zh-CN"/>
        </w:rPr>
        <w:t>0</w:t>
      </w:r>
      <w:r>
        <w:rPr>
          <w:rFonts w:hint="eastAsia" w:hAnsi="宋体"/>
          <w:bCs/>
          <w:color w:val="auto"/>
          <w:sz w:val="24"/>
        </w:rPr>
        <w:t>个改水村中，改水工程正常运转的村数25</w:t>
      </w:r>
      <w:r>
        <w:rPr>
          <w:rFonts w:hint="eastAsia" w:hAnsi="宋体"/>
          <w:bCs/>
          <w:color w:val="auto"/>
          <w:sz w:val="24"/>
          <w:lang w:val="en-US" w:eastAsia="zh-CN"/>
        </w:rPr>
        <w:t>36</w:t>
      </w:r>
      <w:r>
        <w:rPr>
          <w:rFonts w:hint="eastAsia" w:hAnsi="宋体"/>
          <w:bCs/>
          <w:color w:val="auto"/>
          <w:sz w:val="24"/>
        </w:rPr>
        <w:t>个，占改水村的99.</w:t>
      </w:r>
      <w:r>
        <w:rPr>
          <w:rFonts w:hint="eastAsia" w:hAnsi="宋体"/>
          <w:bCs/>
          <w:color w:val="auto"/>
          <w:sz w:val="24"/>
          <w:lang w:val="en-US" w:eastAsia="zh-CN"/>
        </w:rPr>
        <w:t>84</w:t>
      </w:r>
      <w:r>
        <w:rPr>
          <w:rFonts w:hint="eastAsia" w:hAnsi="宋体"/>
          <w:bCs/>
          <w:color w:val="auto"/>
          <w:sz w:val="24"/>
        </w:rPr>
        <w:t>％；改水工程间歇运转的村数</w:t>
      </w:r>
      <w:r>
        <w:rPr>
          <w:rFonts w:hint="eastAsia" w:hAnsi="宋体"/>
          <w:bCs/>
          <w:color w:val="auto"/>
          <w:sz w:val="24"/>
          <w:lang w:val="en-US" w:eastAsia="zh-CN"/>
        </w:rPr>
        <w:t>4</w:t>
      </w:r>
      <w:r>
        <w:rPr>
          <w:rFonts w:hint="eastAsia" w:hAnsi="宋体"/>
          <w:bCs/>
          <w:color w:val="auto"/>
          <w:sz w:val="24"/>
        </w:rPr>
        <w:t>个。改水工程间歇运转的村分布于内蒙古（2个）和新疆（</w:t>
      </w:r>
      <w:r>
        <w:rPr>
          <w:rFonts w:hint="eastAsia" w:hAnsi="宋体"/>
          <w:bCs/>
          <w:color w:val="auto"/>
          <w:sz w:val="24"/>
          <w:lang w:val="en-US" w:eastAsia="zh-CN"/>
        </w:rPr>
        <w:t>2</w:t>
      </w:r>
      <w:r>
        <w:rPr>
          <w:rFonts w:hint="eastAsia" w:hAnsi="宋体"/>
          <w:bCs/>
          <w:color w:val="auto"/>
          <w:sz w:val="24"/>
        </w:rPr>
        <w:t>个）。改水工程正常运转率除内蒙古</w:t>
      </w:r>
      <w:r>
        <w:rPr>
          <w:rFonts w:hint="eastAsia" w:hAnsi="宋体"/>
          <w:bCs/>
          <w:color w:val="auto"/>
          <w:sz w:val="24"/>
          <w:lang w:val="en-US" w:eastAsia="zh-CN"/>
        </w:rPr>
        <w:t>为</w:t>
      </w:r>
      <w:r>
        <w:rPr>
          <w:rFonts w:hint="eastAsia" w:hAnsi="宋体"/>
          <w:bCs/>
          <w:color w:val="auto"/>
          <w:sz w:val="24"/>
        </w:rPr>
        <w:t>99.</w:t>
      </w:r>
      <w:r>
        <w:rPr>
          <w:rFonts w:hint="eastAsia" w:hAnsi="宋体"/>
          <w:bCs/>
          <w:color w:val="auto"/>
          <w:sz w:val="24"/>
          <w:lang w:val="en-US" w:eastAsia="zh-CN"/>
        </w:rPr>
        <w:t>83</w:t>
      </w:r>
      <w:r>
        <w:rPr>
          <w:rFonts w:hint="eastAsia" w:hAnsi="宋体"/>
          <w:bCs/>
          <w:color w:val="auto"/>
          <w:sz w:val="24"/>
        </w:rPr>
        <w:t>%和新疆</w:t>
      </w:r>
      <w:r>
        <w:rPr>
          <w:rFonts w:hint="eastAsia" w:hAnsi="宋体"/>
          <w:bCs/>
          <w:color w:val="auto"/>
          <w:sz w:val="24"/>
          <w:lang w:val="en-US" w:eastAsia="zh-CN"/>
        </w:rPr>
        <w:t>为</w:t>
      </w:r>
      <w:r>
        <w:rPr>
          <w:rFonts w:hint="eastAsia" w:hAnsi="宋体"/>
          <w:bCs/>
          <w:color w:val="auto"/>
          <w:sz w:val="24"/>
        </w:rPr>
        <w:t>99.</w:t>
      </w:r>
      <w:r>
        <w:rPr>
          <w:rFonts w:hint="eastAsia" w:hAnsi="宋体"/>
          <w:bCs/>
          <w:color w:val="auto"/>
          <w:sz w:val="24"/>
          <w:lang w:val="en-US" w:eastAsia="zh-CN"/>
        </w:rPr>
        <w:t>47</w:t>
      </w:r>
      <w:r>
        <w:rPr>
          <w:rFonts w:hint="eastAsia" w:hAnsi="宋体"/>
          <w:bCs/>
          <w:color w:val="auto"/>
          <w:sz w:val="24"/>
        </w:rPr>
        <w:t>%外，其他各省（自治区）均达到100%。</w:t>
      </w:r>
    </w:p>
    <w:p>
      <w:pPr>
        <w:pStyle w:val="10"/>
        <w:numPr>
          <w:ilvl w:val="0"/>
          <w:numId w:val="1"/>
        </w:numPr>
        <w:adjustRightInd w:val="0"/>
        <w:snapToGrid w:val="0"/>
        <w:spacing w:line="360" w:lineRule="auto"/>
        <w:ind w:firstLine="480"/>
        <w:rPr>
          <w:rFonts w:hAnsi="宋体"/>
          <w:bCs/>
          <w:color w:val="auto"/>
          <w:sz w:val="24"/>
        </w:rPr>
      </w:pPr>
      <w:r>
        <w:rPr>
          <w:rFonts w:hint="eastAsia" w:hAnsi="宋体"/>
          <w:bCs/>
          <w:color w:val="auto"/>
          <w:sz w:val="24"/>
          <w:lang w:val="en-US" w:eastAsia="zh-CN"/>
        </w:rPr>
        <w:t>改水村</w:t>
      </w:r>
      <w:r>
        <w:rPr>
          <w:rFonts w:hint="eastAsia" w:hAnsi="宋体"/>
          <w:bCs/>
          <w:color w:val="auto"/>
          <w:sz w:val="24"/>
        </w:rPr>
        <w:t>水砷含量</w:t>
      </w:r>
    </w:p>
    <w:p>
      <w:pPr>
        <w:pStyle w:val="10"/>
        <w:adjustRightInd w:val="0"/>
        <w:snapToGrid w:val="0"/>
        <w:spacing w:line="360" w:lineRule="auto"/>
        <w:ind w:firstLine="480"/>
        <w:rPr>
          <w:color w:val="auto"/>
          <w:sz w:val="24"/>
        </w:rPr>
      </w:pPr>
      <w:r>
        <w:rPr>
          <w:rFonts w:hint="eastAsia" w:hAnsi="宋体"/>
          <w:bCs/>
          <w:color w:val="auto"/>
          <w:sz w:val="24"/>
          <w:lang w:val="en-US" w:eastAsia="zh-CN"/>
        </w:rPr>
        <w:t>按照2006年标准，在</w:t>
      </w:r>
      <w:r>
        <w:rPr>
          <w:rFonts w:hint="eastAsia" w:hAnsi="宋体"/>
          <w:bCs/>
          <w:color w:val="auto"/>
          <w:sz w:val="24"/>
        </w:rPr>
        <w:t>254</w:t>
      </w:r>
      <w:r>
        <w:rPr>
          <w:rFonts w:hint="eastAsia" w:hAnsi="宋体"/>
          <w:bCs/>
          <w:color w:val="auto"/>
          <w:sz w:val="24"/>
          <w:lang w:val="en-US" w:eastAsia="zh-CN"/>
        </w:rPr>
        <w:t>0</w:t>
      </w:r>
      <w:r>
        <w:rPr>
          <w:rFonts w:hAnsi="宋体"/>
          <w:bCs/>
          <w:color w:val="auto"/>
          <w:sz w:val="24"/>
        </w:rPr>
        <w:t>个改水村</w:t>
      </w:r>
      <w:r>
        <w:rPr>
          <w:rFonts w:hint="eastAsia" w:hAnsi="宋体"/>
          <w:bCs/>
          <w:color w:val="auto"/>
          <w:sz w:val="24"/>
          <w:lang w:val="en-US" w:eastAsia="zh-CN"/>
        </w:rPr>
        <w:t>中</w:t>
      </w:r>
      <w:r>
        <w:rPr>
          <w:rFonts w:hAnsi="宋体"/>
          <w:bCs/>
          <w:color w:val="auto"/>
          <w:sz w:val="24"/>
        </w:rPr>
        <w:t>，</w:t>
      </w:r>
      <w:r>
        <w:rPr>
          <w:rFonts w:hint="eastAsia" w:hAnsi="宋体"/>
          <w:bCs/>
          <w:color w:val="auto"/>
          <w:sz w:val="24"/>
        </w:rPr>
        <w:t>水砷</w:t>
      </w:r>
      <w:r>
        <w:rPr>
          <w:rFonts w:hint="eastAsia" w:hAnsi="宋体"/>
          <w:bCs/>
          <w:color w:val="auto"/>
          <w:sz w:val="24"/>
          <w:lang w:val="en-US" w:eastAsia="zh-CN"/>
        </w:rPr>
        <w:t>浓度</w:t>
      </w:r>
      <w:r>
        <w:rPr>
          <w:rFonts w:hint="eastAsia" w:hAnsi="宋体"/>
          <w:bCs/>
          <w:color w:val="auto"/>
          <w:sz w:val="24"/>
        </w:rPr>
        <w:t>合格的村数为25</w:t>
      </w:r>
      <w:r>
        <w:rPr>
          <w:rFonts w:hint="eastAsia" w:hAnsi="宋体"/>
          <w:bCs/>
          <w:color w:val="auto"/>
          <w:sz w:val="24"/>
          <w:lang w:val="en-US" w:eastAsia="zh-CN"/>
        </w:rPr>
        <w:t>0</w:t>
      </w:r>
      <w:r>
        <w:rPr>
          <w:rFonts w:hint="eastAsia" w:hAnsi="宋体"/>
          <w:bCs/>
          <w:color w:val="auto"/>
          <w:sz w:val="24"/>
        </w:rPr>
        <w:t>1个，合格率</w:t>
      </w:r>
      <w:r>
        <w:rPr>
          <w:rFonts w:hint="eastAsia" w:hAnsi="宋体"/>
          <w:bCs/>
          <w:color w:val="auto"/>
          <w:sz w:val="24"/>
          <w:highlight w:val="none"/>
        </w:rPr>
        <w:t>为</w:t>
      </w:r>
      <w:r>
        <w:rPr>
          <w:rFonts w:hint="eastAsia" w:hAnsi="宋体"/>
          <w:bCs/>
          <w:color w:val="auto"/>
          <w:sz w:val="24"/>
          <w:highlight w:val="none"/>
          <w:lang w:val="en-US" w:eastAsia="zh-CN"/>
        </w:rPr>
        <w:t>98.46</w:t>
      </w:r>
      <w:r>
        <w:rPr>
          <w:rFonts w:hint="eastAsia" w:hAnsi="宋体"/>
          <w:bCs/>
          <w:color w:val="auto"/>
          <w:sz w:val="24"/>
          <w:highlight w:val="none"/>
        </w:rPr>
        <w:t>%</w:t>
      </w:r>
      <w:r>
        <w:rPr>
          <w:rFonts w:hint="eastAsia" w:hAnsi="宋体"/>
          <w:bCs/>
          <w:color w:val="auto"/>
          <w:sz w:val="24"/>
          <w:highlight w:val="none"/>
          <w:lang w:eastAsia="zh-CN"/>
        </w:rPr>
        <w:t>，</w:t>
      </w:r>
      <w:r>
        <w:rPr>
          <w:rFonts w:hint="eastAsia" w:hAnsi="宋体"/>
          <w:bCs/>
          <w:color w:val="auto"/>
          <w:sz w:val="24"/>
          <w:lang w:val="en-US" w:eastAsia="zh-CN"/>
        </w:rPr>
        <w:t>超标村数为39个，超标率为1.81%</w:t>
      </w:r>
      <w:r>
        <w:rPr>
          <w:rFonts w:hint="eastAsia" w:hAnsi="宋体"/>
          <w:bCs/>
          <w:color w:val="auto"/>
          <w:sz w:val="24"/>
        </w:rPr>
        <w:t>。水砷超标的村分布于内蒙古（3</w:t>
      </w:r>
      <w:r>
        <w:rPr>
          <w:rFonts w:hint="eastAsia" w:hAnsi="宋体"/>
          <w:bCs/>
          <w:color w:val="auto"/>
          <w:sz w:val="24"/>
          <w:lang w:val="en-US" w:eastAsia="zh-CN"/>
        </w:rPr>
        <w:t>8</w:t>
      </w:r>
      <w:r>
        <w:rPr>
          <w:rFonts w:hint="eastAsia" w:hAnsi="宋体"/>
          <w:bCs/>
          <w:color w:val="auto"/>
          <w:sz w:val="24"/>
        </w:rPr>
        <w:t>个）和新疆（1个）。水砷合格率除内蒙古</w:t>
      </w:r>
      <w:r>
        <w:rPr>
          <w:rFonts w:hint="eastAsia" w:hAnsi="宋体"/>
          <w:bCs/>
          <w:color w:val="auto"/>
          <w:sz w:val="24"/>
          <w:lang w:val="en-US" w:eastAsia="zh-CN"/>
        </w:rPr>
        <w:t>为</w:t>
      </w:r>
      <w:r>
        <w:rPr>
          <w:rFonts w:hint="eastAsia" w:hAnsi="宋体"/>
          <w:bCs/>
          <w:color w:val="auto"/>
          <w:sz w:val="24"/>
        </w:rPr>
        <w:t>96.</w:t>
      </w:r>
      <w:r>
        <w:rPr>
          <w:rFonts w:hint="eastAsia" w:hAnsi="宋体"/>
          <w:bCs/>
          <w:color w:val="auto"/>
          <w:sz w:val="24"/>
          <w:lang w:val="en-US" w:eastAsia="zh-CN"/>
        </w:rPr>
        <w:t>7</w:t>
      </w:r>
      <w:r>
        <w:rPr>
          <w:rFonts w:hint="eastAsia" w:hAnsi="宋体"/>
          <w:bCs/>
          <w:color w:val="auto"/>
          <w:sz w:val="24"/>
        </w:rPr>
        <w:t>4%和新疆</w:t>
      </w:r>
      <w:r>
        <w:rPr>
          <w:rFonts w:hint="eastAsia" w:hAnsi="宋体"/>
          <w:bCs/>
          <w:color w:val="auto"/>
          <w:sz w:val="24"/>
          <w:lang w:val="en-US" w:eastAsia="zh-CN"/>
        </w:rPr>
        <w:t>为</w:t>
      </w:r>
      <w:r>
        <w:rPr>
          <w:rFonts w:hint="eastAsia" w:hAnsi="宋体"/>
          <w:bCs/>
          <w:color w:val="auto"/>
          <w:sz w:val="24"/>
        </w:rPr>
        <w:t>99.74%外，其他各省（自治区）均达到100%。</w:t>
      </w:r>
    </w:p>
    <w:p>
      <w:pPr>
        <w:pStyle w:val="10"/>
        <w:adjustRightInd w:val="0"/>
        <w:snapToGrid w:val="0"/>
        <w:spacing w:line="360" w:lineRule="auto"/>
        <w:ind w:firstLine="480"/>
        <w:rPr>
          <w:rFonts w:hint="default" w:hAnsi="宋体" w:eastAsia="宋体"/>
          <w:bCs/>
          <w:color w:val="auto"/>
          <w:sz w:val="24"/>
          <w:lang w:val="en-US" w:eastAsia="zh-CN"/>
        </w:rPr>
      </w:pPr>
      <w:r>
        <w:rPr>
          <w:rFonts w:hint="eastAsia"/>
          <w:color w:val="auto"/>
          <w:sz w:val="24"/>
          <w:lang w:val="en-US" w:eastAsia="zh-CN"/>
        </w:rPr>
        <w:t>按照2022年标准，在2540个已改水村中，水砷合格的村数为2325个，合格率为91.54%，水砷超标村数为215个，超标率为8.46%。吉林、宁夏合格率不足90%，分别为64.00%和87.18%，山西、云南、甘肃、内蒙古、湖北、新疆为90%-100%，</w:t>
      </w:r>
      <w:r>
        <w:rPr>
          <w:rFonts w:hint="eastAsia" w:hAnsi="宋体"/>
          <w:bCs/>
          <w:color w:val="auto"/>
          <w:sz w:val="24"/>
        </w:rPr>
        <w:t>其他各省（自治区）</w:t>
      </w:r>
      <w:r>
        <w:rPr>
          <w:rFonts w:hint="eastAsia"/>
          <w:color w:val="auto"/>
          <w:sz w:val="24"/>
          <w:lang w:val="en-US" w:eastAsia="zh-CN"/>
        </w:rPr>
        <w:t>为100%。</w:t>
      </w:r>
    </w:p>
    <w:p>
      <w:pPr>
        <w:spacing w:line="360" w:lineRule="auto"/>
        <w:ind w:firstLine="482" w:firstLineChars="200"/>
        <w:rPr>
          <w:rFonts w:hAnsi="宋体"/>
          <w:b/>
        </w:rPr>
      </w:pPr>
      <w:r>
        <w:rPr>
          <w:rFonts w:hint="eastAsia" w:hAnsi="宋体"/>
          <w:b/>
        </w:rPr>
        <w:t>（二）</w:t>
      </w:r>
      <w:r>
        <w:rPr>
          <w:rFonts w:hAnsi="宋体"/>
          <w:b/>
        </w:rPr>
        <w:t>未改水村水</w:t>
      </w:r>
      <w:r>
        <w:rPr>
          <w:rFonts w:hint="eastAsia" w:hAnsi="宋体"/>
          <w:b/>
        </w:rPr>
        <w:t>砷</w:t>
      </w:r>
      <w:r>
        <w:rPr>
          <w:rFonts w:hAnsi="宋体"/>
          <w:b/>
        </w:rPr>
        <w:t>含量</w:t>
      </w:r>
    </w:p>
    <w:p>
      <w:pPr>
        <w:pStyle w:val="10"/>
        <w:adjustRightInd w:val="0"/>
        <w:snapToGrid w:val="0"/>
        <w:spacing w:line="360" w:lineRule="auto"/>
        <w:ind w:firstLine="480"/>
        <w:rPr>
          <w:rFonts w:hint="default" w:eastAsia="宋体"/>
          <w:color w:val="auto"/>
          <w:sz w:val="24"/>
          <w:lang w:val="en-US" w:eastAsia="zh-CN"/>
        </w:rPr>
      </w:pPr>
      <w:r>
        <w:rPr>
          <w:rFonts w:hAnsi="宋体"/>
          <w:bCs/>
          <w:color w:val="auto"/>
          <w:sz w:val="24"/>
        </w:rPr>
        <w:t>本年度共监测</w:t>
      </w:r>
      <w:r>
        <w:rPr>
          <w:rFonts w:hint="eastAsia" w:hAnsi="宋体"/>
          <w:bCs/>
          <w:color w:val="auto"/>
          <w:sz w:val="24"/>
          <w:lang w:val="en-US" w:eastAsia="zh-CN"/>
        </w:rPr>
        <w:t>7</w:t>
      </w:r>
      <w:r>
        <w:rPr>
          <w:rFonts w:hAnsi="宋体"/>
          <w:bCs/>
          <w:color w:val="auto"/>
          <w:sz w:val="24"/>
        </w:rPr>
        <w:t>个未改水村</w:t>
      </w:r>
      <w:r>
        <w:rPr>
          <w:rFonts w:hint="eastAsia" w:hAnsi="宋体"/>
          <w:bCs/>
          <w:color w:val="auto"/>
          <w:sz w:val="24"/>
        </w:rPr>
        <w:t>，</w:t>
      </w:r>
      <w:r>
        <w:rPr>
          <w:rFonts w:hint="eastAsia" w:hAnsi="宋体"/>
          <w:bCs/>
          <w:color w:val="auto"/>
          <w:sz w:val="24"/>
          <w:lang w:val="en-US" w:eastAsia="zh-CN"/>
        </w:rPr>
        <w:t>均来自</w:t>
      </w:r>
      <w:r>
        <w:rPr>
          <w:rFonts w:hint="eastAsia" w:hAnsi="宋体"/>
          <w:bCs/>
          <w:color w:val="auto"/>
          <w:sz w:val="24"/>
        </w:rPr>
        <w:t>于内蒙古，涉及</w:t>
      </w:r>
      <w:r>
        <w:rPr>
          <w:rFonts w:hint="eastAsia" w:hAnsi="宋体"/>
          <w:bCs/>
          <w:color w:val="auto"/>
          <w:sz w:val="24"/>
          <w:lang w:val="en-US" w:eastAsia="zh-CN"/>
        </w:rPr>
        <w:t>112</w:t>
      </w:r>
      <w:r>
        <w:rPr>
          <w:rFonts w:hint="eastAsia" w:hAnsi="宋体"/>
          <w:bCs/>
          <w:color w:val="auto"/>
          <w:sz w:val="24"/>
        </w:rPr>
        <w:t>户，检测水砷范围为0.001-0.0</w:t>
      </w:r>
      <w:r>
        <w:rPr>
          <w:rFonts w:hint="eastAsia" w:hAnsi="宋体"/>
          <w:bCs/>
          <w:color w:val="auto"/>
          <w:sz w:val="24"/>
          <w:lang w:val="en-US" w:eastAsia="zh-CN"/>
        </w:rPr>
        <w:t>17</w:t>
      </w:r>
      <w:r>
        <w:rPr>
          <w:rFonts w:hint="eastAsia" w:hAnsi="宋体"/>
          <w:bCs/>
          <w:color w:val="auto"/>
          <w:sz w:val="24"/>
        </w:rPr>
        <w:t>mg/L，水砷浓度≤0.01mg/L的户数为</w:t>
      </w:r>
      <w:r>
        <w:rPr>
          <w:rFonts w:hint="eastAsia" w:hAnsi="宋体"/>
          <w:bCs/>
          <w:color w:val="auto"/>
          <w:sz w:val="24"/>
          <w:lang w:val="en-US" w:eastAsia="zh-CN"/>
        </w:rPr>
        <w:t>61</w:t>
      </w:r>
      <w:r>
        <w:rPr>
          <w:rFonts w:hint="eastAsia" w:hAnsi="宋体"/>
          <w:bCs/>
          <w:color w:val="auto"/>
          <w:sz w:val="24"/>
        </w:rPr>
        <w:t>户，水砷浓度&gt;0.01mg/L</w:t>
      </w:r>
      <w:r>
        <w:rPr>
          <w:rFonts w:hint="eastAsia" w:hAnsi="宋体"/>
          <w:bCs/>
          <w:color w:val="auto"/>
          <w:sz w:val="24"/>
          <w:lang w:val="en-US" w:eastAsia="zh-CN"/>
        </w:rPr>
        <w:t>的</w:t>
      </w:r>
      <w:r>
        <w:rPr>
          <w:rFonts w:hint="eastAsia" w:hAnsi="宋体"/>
          <w:bCs/>
          <w:color w:val="auto"/>
          <w:sz w:val="24"/>
        </w:rPr>
        <w:t>户数为</w:t>
      </w:r>
      <w:r>
        <w:rPr>
          <w:rFonts w:hint="eastAsia" w:hAnsi="宋体"/>
          <w:bCs/>
          <w:color w:val="auto"/>
          <w:sz w:val="24"/>
          <w:lang w:val="en-US" w:eastAsia="zh-CN"/>
        </w:rPr>
        <w:t>51</w:t>
      </w:r>
      <w:r>
        <w:rPr>
          <w:rFonts w:hint="eastAsia" w:hAnsi="宋体"/>
          <w:bCs/>
          <w:color w:val="auto"/>
          <w:sz w:val="24"/>
        </w:rPr>
        <w:t>户，按照限值0.0</w:t>
      </w:r>
      <w:r>
        <w:rPr>
          <w:rFonts w:hint="eastAsia" w:hAnsi="宋体"/>
          <w:bCs/>
          <w:color w:val="auto"/>
          <w:sz w:val="24"/>
          <w:lang w:val="en-US" w:eastAsia="zh-CN"/>
        </w:rPr>
        <w:t>1</w:t>
      </w:r>
      <w:r>
        <w:rPr>
          <w:rFonts w:hint="eastAsia" w:hAnsi="宋体"/>
          <w:bCs/>
          <w:color w:val="auto"/>
          <w:sz w:val="24"/>
        </w:rPr>
        <w:t>mg/L统计，水砷合格率为</w:t>
      </w:r>
      <w:r>
        <w:rPr>
          <w:rFonts w:hint="eastAsia" w:hAnsi="宋体"/>
          <w:bCs/>
          <w:color w:val="auto"/>
          <w:sz w:val="24"/>
          <w:lang w:val="en-US" w:eastAsia="zh-CN"/>
        </w:rPr>
        <w:t>45.54</w:t>
      </w:r>
      <w:r>
        <w:rPr>
          <w:rFonts w:hint="eastAsia" w:hAnsi="宋体"/>
          <w:bCs/>
          <w:color w:val="auto"/>
          <w:sz w:val="24"/>
        </w:rPr>
        <w:t>%。</w:t>
      </w:r>
      <w:r>
        <w:rPr>
          <w:rFonts w:hint="eastAsia" w:hAnsi="宋体"/>
          <w:bCs/>
          <w:color w:val="auto"/>
          <w:sz w:val="24"/>
          <w:lang w:val="en-US" w:eastAsia="zh-CN"/>
        </w:rPr>
        <w:t>有3个村存在水砷超过0.01mg/L的水样。</w:t>
      </w:r>
    </w:p>
    <w:p>
      <w:pPr>
        <w:spacing w:line="360" w:lineRule="auto"/>
        <w:ind w:firstLine="472" w:firstLineChars="196"/>
        <w:rPr>
          <w:b/>
        </w:rPr>
      </w:pPr>
      <w:r>
        <w:rPr>
          <w:b/>
        </w:rPr>
        <w:t>（三）</w:t>
      </w:r>
      <w:r>
        <w:rPr>
          <w:rFonts w:hint="eastAsia"/>
          <w:b/>
        </w:rPr>
        <w:t>砷中毒</w:t>
      </w:r>
      <w:r>
        <w:rPr>
          <w:b/>
        </w:rPr>
        <w:t>病情监测结果</w:t>
      </w:r>
    </w:p>
    <w:p>
      <w:pPr>
        <w:spacing w:line="360" w:lineRule="auto"/>
        <w:ind w:firstLine="480" w:firstLineChars="200"/>
        <w:rPr>
          <w:rFonts w:hint="eastAsia" w:hAnsi="宋体"/>
          <w:bCs/>
        </w:rPr>
      </w:pPr>
      <w:bookmarkStart w:id="1" w:name="_Hlk518046574"/>
      <w:bookmarkStart w:id="2" w:name="_Hlk41951284"/>
      <w:r>
        <w:rPr>
          <w:rFonts w:hint="eastAsia" w:hAnsi="宋体"/>
          <w:bCs/>
          <w:lang w:val="en-US" w:eastAsia="zh-CN"/>
        </w:rPr>
        <w:t>本年度除山西、内蒙古、河南以及甘肃的部分病区村未开展砷中毒病情调查外，其余10</w:t>
      </w:r>
      <w:r>
        <w:rPr>
          <w:rFonts w:hint="eastAsia" w:hAnsi="宋体"/>
          <w:bCs/>
        </w:rPr>
        <w:t>个省（自治区）在饮水型砷中毒病区村和高砷村进行了砷中毒病情调查，总检查人数</w:t>
      </w:r>
      <w:r>
        <w:rPr>
          <w:rFonts w:hint="eastAsia" w:hAnsi="宋体"/>
          <w:bCs/>
          <w:lang w:val="en-US" w:eastAsia="zh-CN"/>
        </w:rPr>
        <w:t>612033</w:t>
      </w:r>
      <w:r>
        <w:rPr>
          <w:rFonts w:hint="eastAsia" w:hAnsi="宋体"/>
          <w:bCs/>
        </w:rPr>
        <w:t>人，检出病例总数</w:t>
      </w:r>
      <w:r>
        <w:rPr>
          <w:rFonts w:hint="eastAsia" w:hAnsi="宋体"/>
          <w:bCs/>
          <w:lang w:val="en-US" w:eastAsia="zh-CN"/>
        </w:rPr>
        <w:t>944</w:t>
      </w:r>
      <w:r>
        <w:rPr>
          <w:rFonts w:hint="eastAsia" w:hAnsi="宋体"/>
          <w:bCs/>
        </w:rPr>
        <w:t>人，检出率为0.</w:t>
      </w:r>
      <w:r>
        <w:rPr>
          <w:rFonts w:hint="eastAsia" w:hAnsi="宋体"/>
          <w:bCs/>
          <w:lang w:val="en-US" w:eastAsia="zh-CN"/>
        </w:rPr>
        <w:t>15</w:t>
      </w:r>
      <w:r>
        <w:rPr>
          <w:rFonts w:hint="eastAsia" w:hAnsi="宋体"/>
          <w:bCs/>
        </w:rPr>
        <w:t>%。</w:t>
      </w:r>
      <w:r>
        <w:rPr>
          <w:rFonts w:hint="eastAsia" w:hAnsi="宋体"/>
          <w:bCs/>
          <w:lang w:val="en-US" w:eastAsia="zh-CN"/>
        </w:rPr>
        <w:t>山西、内蒙古、甘肃分别有砷中毒患者1104人、1873人、136人，全国共有饮水型砷中毒患者4058人，较上一年度减少242人。全国</w:t>
      </w:r>
      <w:r>
        <w:rPr>
          <w:rFonts w:hint="eastAsia" w:hAnsi="宋体"/>
          <w:bCs/>
        </w:rPr>
        <w:t>现</w:t>
      </w:r>
      <w:r>
        <w:rPr>
          <w:rFonts w:hint="eastAsia" w:hAnsi="宋体"/>
          <w:bCs/>
          <w:lang w:val="en-US" w:eastAsia="zh-CN"/>
        </w:rPr>
        <w:t>所</w:t>
      </w:r>
      <w:r>
        <w:rPr>
          <w:rFonts w:hint="eastAsia" w:hAnsi="宋体"/>
          <w:bCs/>
        </w:rPr>
        <w:t>有</w:t>
      </w:r>
      <w:r>
        <w:rPr>
          <w:rFonts w:hint="eastAsia" w:hAnsi="宋体"/>
          <w:bCs/>
          <w:lang w:val="en-US" w:eastAsia="zh-CN"/>
        </w:rPr>
        <w:t>患者</w:t>
      </w:r>
      <w:r>
        <w:rPr>
          <w:rFonts w:hint="eastAsia" w:hAnsi="宋体"/>
          <w:bCs/>
        </w:rPr>
        <w:t>中</w:t>
      </w:r>
      <w:r>
        <w:rPr>
          <w:rFonts w:hint="eastAsia" w:hAnsi="宋体"/>
          <w:bCs/>
          <w:lang w:eastAsia="zh-CN"/>
        </w:rPr>
        <w:t>，</w:t>
      </w:r>
      <w:r>
        <w:rPr>
          <w:rFonts w:hint="eastAsia" w:hAnsi="宋体"/>
          <w:bCs/>
        </w:rPr>
        <w:t>轻度病例3</w:t>
      </w:r>
      <w:r>
        <w:rPr>
          <w:rFonts w:hint="eastAsia" w:hAnsi="宋体"/>
          <w:bCs/>
          <w:lang w:val="en-US" w:eastAsia="zh-CN"/>
        </w:rPr>
        <w:t>41</w:t>
      </w:r>
      <w:r>
        <w:rPr>
          <w:rFonts w:hint="eastAsia" w:hAnsi="宋体"/>
          <w:bCs/>
        </w:rPr>
        <w:t>8例，占病例总数84.</w:t>
      </w:r>
      <w:r>
        <w:rPr>
          <w:rFonts w:hint="eastAsia" w:hAnsi="宋体"/>
          <w:bCs/>
          <w:lang w:val="en-US" w:eastAsia="zh-CN"/>
        </w:rPr>
        <w:t>23</w:t>
      </w:r>
      <w:r>
        <w:rPr>
          <w:rFonts w:hint="eastAsia" w:hAnsi="宋体"/>
          <w:bCs/>
        </w:rPr>
        <w:t>%；中度病例5</w:t>
      </w:r>
      <w:r>
        <w:rPr>
          <w:rFonts w:hint="eastAsia" w:hAnsi="宋体"/>
          <w:bCs/>
          <w:lang w:val="en-US" w:eastAsia="zh-CN"/>
        </w:rPr>
        <w:t>22</w:t>
      </w:r>
      <w:r>
        <w:rPr>
          <w:rFonts w:hint="eastAsia" w:hAnsi="宋体"/>
          <w:bCs/>
        </w:rPr>
        <w:t>例，占病例总数12.</w:t>
      </w:r>
      <w:r>
        <w:rPr>
          <w:rFonts w:hint="eastAsia" w:hAnsi="宋体"/>
          <w:bCs/>
          <w:lang w:val="en-US" w:eastAsia="zh-CN"/>
        </w:rPr>
        <w:t>86</w:t>
      </w:r>
      <w:r>
        <w:rPr>
          <w:rFonts w:hint="eastAsia" w:hAnsi="宋体"/>
          <w:bCs/>
        </w:rPr>
        <w:t>%；重度病例11</w:t>
      </w:r>
      <w:r>
        <w:rPr>
          <w:rFonts w:hint="eastAsia" w:hAnsi="宋体"/>
          <w:bCs/>
          <w:lang w:val="en-US" w:eastAsia="zh-CN"/>
        </w:rPr>
        <w:t>4</w:t>
      </w:r>
      <w:r>
        <w:rPr>
          <w:rFonts w:hint="eastAsia" w:hAnsi="宋体"/>
          <w:bCs/>
        </w:rPr>
        <w:t>例，占病例总数2.</w:t>
      </w:r>
      <w:r>
        <w:rPr>
          <w:rFonts w:hint="eastAsia" w:hAnsi="宋体"/>
          <w:bCs/>
          <w:lang w:val="en-US" w:eastAsia="zh-CN"/>
        </w:rPr>
        <w:t>81</w:t>
      </w:r>
      <w:r>
        <w:rPr>
          <w:rFonts w:hint="eastAsia" w:hAnsi="宋体"/>
          <w:bCs/>
        </w:rPr>
        <w:t>%；皮肤癌患者</w:t>
      </w:r>
      <w:r>
        <w:rPr>
          <w:rFonts w:hint="eastAsia" w:hAnsi="宋体"/>
          <w:bCs/>
          <w:lang w:val="en-US" w:eastAsia="zh-CN"/>
        </w:rPr>
        <w:t>4</w:t>
      </w:r>
      <w:r>
        <w:rPr>
          <w:rFonts w:hint="eastAsia" w:hAnsi="宋体"/>
          <w:bCs/>
        </w:rPr>
        <w:t>例，</w:t>
      </w:r>
      <w:r>
        <w:rPr>
          <w:rFonts w:hint="eastAsia" w:hAnsi="宋体"/>
          <w:bCs/>
          <w:lang w:val="en-US" w:eastAsia="zh-CN"/>
        </w:rPr>
        <w:t>占0.07%</w:t>
      </w:r>
      <w:r>
        <w:rPr>
          <w:rFonts w:hint="eastAsia" w:hAnsi="宋体"/>
          <w:bCs/>
        </w:rPr>
        <w:t>。</w:t>
      </w:r>
      <w:bookmarkStart w:id="3" w:name="_Hlk518489947"/>
      <w:r>
        <w:rPr>
          <w:rFonts w:hint="eastAsia" w:hAnsi="宋体"/>
          <w:bCs/>
          <w:lang w:val="en-US" w:eastAsia="zh-CN"/>
        </w:rPr>
        <w:t>本年度</w:t>
      </w:r>
      <w:r>
        <w:rPr>
          <w:rFonts w:hint="eastAsia" w:hAnsi="宋体"/>
          <w:bCs/>
        </w:rPr>
        <w:t>未发现</w:t>
      </w:r>
      <w:r>
        <w:rPr>
          <w:rFonts w:hint="eastAsia" w:hAnsi="宋体"/>
          <w:bCs/>
          <w:lang w:val="en-US" w:eastAsia="zh-CN"/>
        </w:rPr>
        <w:t>确诊的砷中毒</w:t>
      </w:r>
      <w:r>
        <w:rPr>
          <w:rFonts w:hint="eastAsia" w:hAnsi="宋体"/>
          <w:bCs/>
        </w:rPr>
        <w:t>新发病例。</w:t>
      </w:r>
      <w:r>
        <w:rPr>
          <w:rFonts w:hint="eastAsia" w:hAnsi="宋体"/>
          <w:bCs/>
          <w:lang w:val="en-US" w:eastAsia="zh-CN"/>
        </w:rPr>
        <w:t>另外，全国</w:t>
      </w:r>
      <w:r>
        <w:rPr>
          <w:rFonts w:hint="eastAsia" w:hAnsi="宋体"/>
          <w:bCs/>
        </w:rPr>
        <w:t>有</w:t>
      </w:r>
      <w:r>
        <w:rPr>
          <w:rFonts w:hint="eastAsia" w:hAnsi="宋体"/>
          <w:bCs/>
          <w:lang w:val="en-US" w:eastAsia="zh-CN"/>
        </w:rPr>
        <w:t>地方性砷中毒</w:t>
      </w:r>
      <w:r>
        <w:rPr>
          <w:rFonts w:hint="eastAsia" w:hAnsi="宋体"/>
          <w:bCs/>
        </w:rPr>
        <w:t>可疑</w:t>
      </w:r>
      <w:r>
        <w:rPr>
          <w:rFonts w:hint="eastAsia" w:hAnsi="宋体"/>
          <w:bCs/>
          <w:lang w:val="en-US" w:eastAsia="zh-CN"/>
        </w:rPr>
        <w:t>患者</w:t>
      </w:r>
      <w:r>
        <w:rPr>
          <w:rFonts w:hint="eastAsia" w:hAnsi="宋体"/>
          <w:bCs/>
        </w:rPr>
        <w:t>17</w:t>
      </w:r>
      <w:r>
        <w:rPr>
          <w:rFonts w:hint="eastAsia" w:hAnsi="宋体"/>
          <w:bCs/>
          <w:lang w:val="en-US" w:eastAsia="zh-CN"/>
        </w:rPr>
        <w:t>6</w:t>
      </w:r>
      <w:r>
        <w:rPr>
          <w:rFonts w:hint="eastAsia" w:hAnsi="宋体"/>
          <w:bCs/>
        </w:rPr>
        <w:t>例</w:t>
      </w:r>
      <w:r>
        <w:rPr>
          <w:rFonts w:hint="eastAsia" w:hAnsi="宋体"/>
          <w:bCs/>
          <w:lang w:eastAsia="zh-CN"/>
        </w:rPr>
        <w:t>，</w:t>
      </w:r>
      <w:r>
        <w:rPr>
          <w:rFonts w:hint="eastAsia" w:hAnsi="宋体"/>
          <w:bCs/>
          <w:lang w:val="en-US" w:eastAsia="zh-CN"/>
        </w:rPr>
        <w:t>1例为新发，位于宁夏</w:t>
      </w:r>
      <w:r>
        <w:rPr>
          <w:rFonts w:hint="eastAsia" w:hAnsi="宋体"/>
          <w:bCs/>
        </w:rPr>
        <w:t>。</w:t>
      </w:r>
    </w:p>
    <w:p>
      <w:pPr>
        <w:spacing w:line="360" w:lineRule="auto"/>
        <w:ind w:firstLine="472" w:firstLineChars="196"/>
        <w:rPr>
          <w:rFonts w:ascii="宋体" w:hAnsi="宋体"/>
          <w:b/>
        </w:rPr>
      </w:pPr>
      <w:r>
        <w:rPr>
          <w:rFonts w:hint="eastAsia" w:ascii="宋体" w:hAnsi="宋体"/>
          <w:b/>
        </w:rPr>
        <w:t>（</w:t>
      </w:r>
      <w:r>
        <w:rPr>
          <w:rFonts w:hint="eastAsia" w:ascii="宋体" w:hAnsi="宋体"/>
          <w:b/>
          <w:lang w:val="en-US" w:eastAsia="zh-CN"/>
        </w:rPr>
        <w:t>四</w:t>
      </w:r>
      <w:r>
        <w:rPr>
          <w:rFonts w:hint="eastAsia" w:ascii="宋体" w:hAnsi="宋体"/>
          <w:b/>
        </w:rPr>
        <w:t>）</w:t>
      </w:r>
      <w:r>
        <w:rPr>
          <w:rFonts w:hint="eastAsia" w:ascii="宋体" w:hAnsi="宋体"/>
          <w:b/>
          <w:lang w:val="en-US" w:eastAsia="zh-CN"/>
        </w:rPr>
        <w:t>消除</w:t>
      </w:r>
      <w:r>
        <w:rPr>
          <w:rFonts w:hint="eastAsia" w:ascii="宋体" w:hAnsi="宋体"/>
          <w:b/>
        </w:rPr>
        <w:t>评价结果</w:t>
      </w:r>
    </w:p>
    <w:p>
      <w:pPr>
        <w:spacing w:line="360" w:lineRule="auto"/>
        <w:ind w:firstLine="470" w:firstLineChars="196"/>
      </w:pPr>
      <w:r>
        <w:rPr>
          <w:rFonts w:hint="eastAsia"/>
          <w:lang w:val="en-US" w:eastAsia="zh-CN"/>
        </w:rPr>
        <w:t>本年度全国饮水型砷中毒病区（高砷）村未有确诊的新发砷中毒患者，依据水砷含量进行消除达标的判定。依据2006年饮用水砷含量标准，</w:t>
      </w:r>
      <w:r>
        <w:rPr>
          <w:rFonts w:hint="eastAsia"/>
        </w:rPr>
        <w:t>全国</w:t>
      </w:r>
      <w:r>
        <w:rPr>
          <w:rFonts w:hint="eastAsia"/>
          <w:lang w:val="en-US" w:eastAsia="zh-CN"/>
        </w:rPr>
        <w:t>2547个饮水型砷中毒病区（高砷）村中</w:t>
      </w:r>
      <w:r>
        <w:rPr>
          <w:rFonts w:hint="eastAsia"/>
        </w:rPr>
        <w:t>，</w:t>
      </w:r>
      <w:r>
        <w:rPr>
          <w:rFonts w:hint="eastAsia"/>
          <w:lang w:val="en-US" w:eastAsia="zh-CN"/>
        </w:rPr>
        <w:t>达到消除标准的村为2508个（2501个为改水村，7个为未改水村），消除率为98.47%；</w:t>
      </w:r>
      <w:r>
        <w:rPr>
          <w:rFonts w:hint="eastAsia"/>
        </w:rPr>
        <w:t>119个病区县</w:t>
      </w:r>
      <w:r>
        <w:rPr>
          <w:rFonts w:hint="eastAsia"/>
          <w:lang w:eastAsia="zh-CN"/>
        </w:rPr>
        <w:t>（</w:t>
      </w:r>
      <w:r>
        <w:rPr>
          <w:rFonts w:hint="eastAsia"/>
          <w:lang w:val="en-US" w:eastAsia="zh-CN"/>
        </w:rPr>
        <w:t>高砷县</w:t>
      </w:r>
      <w:r>
        <w:rPr>
          <w:rFonts w:hint="eastAsia"/>
          <w:lang w:eastAsia="zh-CN"/>
        </w:rPr>
        <w:t>）</w:t>
      </w:r>
      <w:r>
        <w:rPr>
          <w:rFonts w:hint="eastAsia"/>
        </w:rPr>
        <w:t>达到消除标准，消除率为99.17%，仅内蒙古</w:t>
      </w:r>
      <w:r>
        <w:rPr>
          <w:rFonts w:hint="eastAsia"/>
          <w:lang w:val="en-US" w:eastAsia="zh-CN"/>
        </w:rPr>
        <w:t>的</w:t>
      </w:r>
      <w:r>
        <w:rPr>
          <w:rFonts w:hint="eastAsia"/>
        </w:rPr>
        <w:t>杭锦后旗未达到消除标准。</w:t>
      </w:r>
      <w:r>
        <w:rPr>
          <w:rFonts w:hint="eastAsia"/>
          <w:lang w:val="en-US" w:eastAsia="zh-CN"/>
        </w:rPr>
        <w:t>该县有一处大型改水工程，水砷含量为0.017mg/L。依据2022年饮用水砷含量标准，全国达到消除标准的村为2329个（2325个为改水村，4个为未改水村），消除率为91.44%；107个县达到消除标准，消除率为89.17%</w:t>
      </w:r>
      <w:r>
        <w:rPr>
          <w:rFonts w:hint="eastAsia"/>
        </w:rPr>
        <w:t>。</w:t>
      </w:r>
      <w:r>
        <w:t>结果见表</w:t>
      </w:r>
      <w:r>
        <w:rPr>
          <w:rFonts w:hint="eastAsia"/>
        </w:rPr>
        <w:t>3</w:t>
      </w:r>
      <w:r>
        <w:t>。</w:t>
      </w:r>
    </w:p>
    <w:p>
      <w:pPr>
        <w:numPr>
          <w:ilvl w:val="-1"/>
          <w:numId w:val="0"/>
        </w:numPr>
        <w:spacing w:line="360" w:lineRule="auto"/>
        <w:ind w:left="480" w:firstLine="0" w:firstLineChars="0"/>
        <w:rPr>
          <w:b/>
          <w:bCs/>
        </w:rPr>
      </w:pPr>
      <w:r>
        <w:rPr>
          <w:rFonts w:hint="eastAsia"/>
          <w:b/>
          <w:bCs/>
          <w:lang w:val="en-US" w:eastAsia="zh-CN"/>
        </w:rPr>
        <w:t>三、</w:t>
      </w:r>
      <w:r>
        <w:rPr>
          <w:rFonts w:hint="eastAsia"/>
          <w:b/>
          <w:bCs/>
        </w:rPr>
        <w:t>主要结论</w:t>
      </w:r>
    </w:p>
    <w:p>
      <w:pPr>
        <w:pStyle w:val="10"/>
        <w:numPr>
          <w:ilvl w:val="0"/>
          <w:numId w:val="2"/>
        </w:numPr>
        <w:adjustRightInd w:val="0"/>
        <w:snapToGrid w:val="0"/>
        <w:spacing w:line="360" w:lineRule="auto"/>
        <w:ind w:firstLine="480"/>
        <w:rPr>
          <w:color w:val="auto"/>
          <w:sz w:val="24"/>
        </w:rPr>
      </w:pPr>
      <w:r>
        <w:rPr>
          <w:rFonts w:hint="eastAsia"/>
          <w:color w:val="auto"/>
          <w:sz w:val="24"/>
        </w:rPr>
        <w:t>本年度在14个省（自治区）共监测120个饮水型地方性砷中毒</w:t>
      </w:r>
      <w:r>
        <w:rPr>
          <w:rFonts w:hint="eastAsia"/>
          <w:color w:val="auto"/>
          <w:sz w:val="24"/>
          <w:lang w:val="en-US" w:eastAsia="zh-CN"/>
        </w:rPr>
        <w:t>病区（高砷）</w:t>
      </w:r>
      <w:r>
        <w:rPr>
          <w:rFonts w:hint="eastAsia"/>
          <w:color w:val="auto"/>
          <w:sz w:val="24"/>
        </w:rPr>
        <w:t>县，覆盖25</w:t>
      </w:r>
      <w:r>
        <w:rPr>
          <w:rFonts w:hint="eastAsia"/>
          <w:color w:val="auto"/>
          <w:sz w:val="24"/>
          <w:lang w:val="en-US" w:eastAsia="zh-CN"/>
        </w:rPr>
        <w:t>47</w:t>
      </w:r>
      <w:r>
        <w:rPr>
          <w:rFonts w:hint="eastAsia"/>
          <w:color w:val="auto"/>
          <w:sz w:val="24"/>
        </w:rPr>
        <w:t>个自然村，改水率为99.</w:t>
      </w:r>
      <w:r>
        <w:rPr>
          <w:rFonts w:hint="eastAsia"/>
          <w:color w:val="auto"/>
          <w:sz w:val="24"/>
          <w:lang w:val="en-US" w:eastAsia="zh-CN"/>
        </w:rPr>
        <w:t>73</w:t>
      </w:r>
      <w:r>
        <w:rPr>
          <w:rFonts w:hint="eastAsia"/>
          <w:color w:val="auto"/>
          <w:sz w:val="24"/>
        </w:rPr>
        <w:t>%（254</w:t>
      </w:r>
      <w:r>
        <w:rPr>
          <w:rFonts w:hint="eastAsia"/>
          <w:color w:val="auto"/>
          <w:sz w:val="24"/>
          <w:lang w:val="en-US" w:eastAsia="zh-CN"/>
        </w:rPr>
        <w:t>0</w:t>
      </w:r>
      <w:r>
        <w:rPr>
          <w:rFonts w:hint="eastAsia"/>
          <w:color w:val="auto"/>
          <w:sz w:val="24"/>
        </w:rPr>
        <w:t>/25</w:t>
      </w:r>
      <w:r>
        <w:rPr>
          <w:rFonts w:hint="eastAsia"/>
          <w:color w:val="auto"/>
          <w:sz w:val="24"/>
          <w:lang w:val="en-US" w:eastAsia="zh-CN"/>
        </w:rPr>
        <w:t>47</w:t>
      </w:r>
      <w:r>
        <w:rPr>
          <w:rFonts w:hint="eastAsia"/>
          <w:color w:val="auto"/>
          <w:sz w:val="24"/>
        </w:rPr>
        <w:t>），改水工程正常运转率为99.</w:t>
      </w:r>
      <w:r>
        <w:rPr>
          <w:rFonts w:hint="eastAsia"/>
          <w:color w:val="auto"/>
          <w:sz w:val="24"/>
          <w:lang w:val="en-US" w:eastAsia="zh-CN"/>
        </w:rPr>
        <w:t>84</w:t>
      </w:r>
      <w:r>
        <w:rPr>
          <w:rFonts w:hint="eastAsia"/>
          <w:color w:val="auto"/>
          <w:sz w:val="24"/>
        </w:rPr>
        <w:t>％（25</w:t>
      </w:r>
      <w:r>
        <w:rPr>
          <w:rFonts w:hint="eastAsia"/>
          <w:color w:val="auto"/>
          <w:sz w:val="24"/>
          <w:lang w:val="en-US" w:eastAsia="zh-CN"/>
        </w:rPr>
        <w:t>36</w:t>
      </w:r>
      <w:r>
        <w:rPr>
          <w:rFonts w:hint="eastAsia"/>
          <w:color w:val="auto"/>
          <w:sz w:val="24"/>
        </w:rPr>
        <w:t>/254</w:t>
      </w:r>
      <w:r>
        <w:rPr>
          <w:rFonts w:hint="eastAsia"/>
          <w:color w:val="auto"/>
          <w:sz w:val="24"/>
          <w:lang w:val="en-US" w:eastAsia="zh-CN"/>
        </w:rPr>
        <w:t>0</w:t>
      </w:r>
      <w:r>
        <w:rPr>
          <w:rFonts w:hint="eastAsia"/>
          <w:color w:val="auto"/>
          <w:sz w:val="24"/>
        </w:rPr>
        <w:t>）</w:t>
      </w:r>
      <w:r>
        <w:rPr>
          <w:rFonts w:hint="eastAsia"/>
          <w:color w:val="auto"/>
          <w:sz w:val="24"/>
          <w:lang w:eastAsia="zh-CN"/>
        </w:rPr>
        <w:t>。</w:t>
      </w:r>
      <w:r>
        <w:rPr>
          <w:rFonts w:hint="eastAsia"/>
          <w:color w:val="auto"/>
          <w:sz w:val="24"/>
          <w:lang w:val="en-US" w:eastAsia="zh-CN"/>
        </w:rPr>
        <w:t>按照2006年标准，</w:t>
      </w:r>
      <w:r>
        <w:rPr>
          <w:rFonts w:hint="eastAsia"/>
          <w:color w:val="auto"/>
          <w:sz w:val="24"/>
        </w:rPr>
        <w:t>水砷合格率</w:t>
      </w:r>
      <w:r>
        <w:rPr>
          <w:rFonts w:hint="eastAsia"/>
          <w:color w:val="auto"/>
          <w:sz w:val="24"/>
          <w:lang w:val="en-US" w:eastAsia="zh-CN"/>
        </w:rPr>
        <w:t>为</w:t>
      </w:r>
      <w:r>
        <w:rPr>
          <w:rFonts w:hint="eastAsia"/>
          <w:color w:val="auto"/>
          <w:sz w:val="24"/>
        </w:rPr>
        <w:t>98.</w:t>
      </w:r>
      <w:r>
        <w:rPr>
          <w:rFonts w:hint="eastAsia"/>
          <w:color w:val="auto"/>
          <w:sz w:val="24"/>
          <w:lang w:val="en-US" w:eastAsia="zh-CN"/>
        </w:rPr>
        <w:t>19</w:t>
      </w:r>
      <w:r>
        <w:rPr>
          <w:rFonts w:hint="eastAsia"/>
          <w:color w:val="auto"/>
          <w:sz w:val="24"/>
        </w:rPr>
        <w:t>%（2511/254</w:t>
      </w:r>
      <w:r>
        <w:rPr>
          <w:rFonts w:hint="eastAsia"/>
          <w:color w:val="auto"/>
          <w:sz w:val="24"/>
          <w:lang w:val="en-US" w:eastAsia="zh-CN"/>
        </w:rPr>
        <w:t>0</w:t>
      </w:r>
      <w:r>
        <w:rPr>
          <w:rFonts w:hint="eastAsia"/>
          <w:color w:val="auto"/>
          <w:sz w:val="24"/>
        </w:rPr>
        <w:t>）</w:t>
      </w:r>
      <w:r>
        <w:rPr>
          <w:rFonts w:hint="eastAsia"/>
          <w:color w:val="auto"/>
          <w:sz w:val="24"/>
          <w:lang w:eastAsia="zh-CN"/>
        </w:rPr>
        <w:t>，</w:t>
      </w:r>
      <w:r>
        <w:rPr>
          <w:rFonts w:hint="eastAsia"/>
          <w:color w:val="auto"/>
          <w:sz w:val="24"/>
          <w:lang w:val="en-US" w:eastAsia="zh-CN"/>
        </w:rPr>
        <w:t>按照2022年标准，</w:t>
      </w:r>
      <w:r>
        <w:rPr>
          <w:rFonts w:hint="eastAsia"/>
          <w:color w:val="auto"/>
          <w:sz w:val="24"/>
        </w:rPr>
        <w:t>水砷合格率</w:t>
      </w:r>
      <w:r>
        <w:rPr>
          <w:rFonts w:hint="eastAsia"/>
          <w:color w:val="auto"/>
          <w:sz w:val="24"/>
          <w:lang w:val="en-US" w:eastAsia="zh-CN"/>
        </w:rPr>
        <w:t>为91.54</w:t>
      </w:r>
      <w:r>
        <w:rPr>
          <w:rFonts w:hint="eastAsia"/>
          <w:color w:val="auto"/>
          <w:sz w:val="24"/>
        </w:rPr>
        <w:t>%（2</w:t>
      </w:r>
      <w:r>
        <w:rPr>
          <w:rFonts w:hint="eastAsia"/>
          <w:color w:val="auto"/>
          <w:sz w:val="24"/>
          <w:lang w:val="en-US" w:eastAsia="zh-CN"/>
        </w:rPr>
        <w:t>325</w:t>
      </w:r>
      <w:r>
        <w:rPr>
          <w:rFonts w:hint="eastAsia"/>
          <w:color w:val="auto"/>
          <w:sz w:val="24"/>
        </w:rPr>
        <w:t>/254</w:t>
      </w:r>
      <w:r>
        <w:rPr>
          <w:rFonts w:hint="eastAsia"/>
          <w:color w:val="auto"/>
          <w:sz w:val="24"/>
          <w:lang w:val="en-US" w:eastAsia="zh-CN"/>
        </w:rPr>
        <w:t>0</w:t>
      </w:r>
      <w:r>
        <w:rPr>
          <w:rFonts w:hint="eastAsia"/>
          <w:color w:val="auto"/>
          <w:sz w:val="24"/>
        </w:rPr>
        <w:t>）。</w:t>
      </w:r>
    </w:p>
    <w:p>
      <w:pPr>
        <w:pStyle w:val="10"/>
        <w:numPr>
          <w:ilvl w:val="0"/>
          <w:numId w:val="2"/>
        </w:numPr>
        <w:adjustRightInd w:val="0"/>
        <w:snapToGrid w:val="0"/>
        <w:spacing w:line="360" w:lineRule="auto"/>
        <w:ind w:firstLine="480"/>
        <w:rPr>
          <w:color w:val="auto"/>
          <w:sz w:val="24"/>
        </w:rPr>
      </w:pPr>
      <w:r>
        <w:rPr>
          <w:rFonts w:hint="eastAsia"/>
          <w:color w:val="auto"/>
          <w:sz w:val="24"/>
          <w:lang w:eastAsia="zh-CN"/>
        </w:rPr>
        <w:t>共监测</w:t>
      </w:r>
      <w:r>
        <w:rPr>
          <w:rFonts w:hint="eastAsia"/>
          <w:color w:val="auto"/>
          <w:sz w:val="24"/>
        </w:rPr>
        <w:t>未改水</w:t>
      </w:r>
      <w:r>
        <w:rPr>
          <w:rFonts w:hint="eastAsia"/>
          <w:color w:val="auto"/>
          <w:sz w:val="24"/>
          <w:lang w:val="en-US" w:eastAsia="zh-CN"/>
        </w:rPr>
        <w:t>的历史病区</w:t>
      </w:r>
      <w:r>
        <w:rPr>
          <w:rFonts w:hint="eastAsia"/>
          <w:color w:val="auto"/>
          <w:sz w:val="24"/>
        </w:rPr>
        <w:t>村</w:t>
      </w:r>
      <w:r>
        <w:rPr>
          <w:rFonts w:hint="eastAsia"/>
          <w:color w:val="auto"/>
          <w:sz w:val="24"/>
          <w:lang w:val="en-US" w:eastAsia="zh-CN"/>
        </w:rPr>
        <w:t>7</w:t>
      </w:r>
      <w:r>
        <w:rPr>
          <w:rFonts w:hint="eastAsia"/>
          <w:color w:val="auto"/>
          <w:sz w:val="24"/>
        </w:rPr>
        <w:t>个，涉及</w:t>
      </w:r>
      <w:r>
        <w:rPr>
          <w:rFonts w:hint="eastAsia"/>
          <w:color w:val="auto"/>
          <w:sz w:val="24"/>
          <w:lang w:val="en-US" w:eastAsia="zh-CN"/>
        </w:rPr>
        <w:t>112</w:t>
      </w:r>
      <w:r>
        <w:rPr>
          <w:rFonts w:hint="eastAsia"/>
          <w:color w:val="auto"/>
          <w:sz w:val="24"/>
        </w:rPr>
        <w:t>户，按照限值0.05mg/L统计，水砷合格率为100%</w:t>
      </w:r>
      <w:r>
        <w:rPr>
          <w:rFonts w:hint="eastAsia"/>
          <w:color w:val="auto"/>
          <w:sz w:val="24"/>
          <w:lang w:eastAsia="zh-CN"/>
        </w:rPr>
        <w:t>，</w:t>
      </w:r>
      <w:r>
        <w:rPr>
          <w:rFonts w:hint="eastAsia"/>
          <w:color w:val="auto"/>
          <w:sz w:val="24"/>
          <w:lang w:val="en-US" w:eastAsia="zh-CN"/>
        </w:rPr>
        <w:t>按照限值0.01mg/L统计，水砷合格率为45.54%</w:t>
      </w:r>
      <w:r>
        <w:rPr>
          <w:rFonts w:hint="eastAsia"/>
          <w:color w:val="auto"/>
          <w:sz w:val="24"/>
        </w:rPr>
        <w:t>。</w:t>
      </w:r>
    </w:p>
    <w:p>
      <w:pPr>
        <w:pStyle w:val="10"/>
        <w:numPr>
          <w:ilvl w:val="0"/>
          <w:numId w:val="2"/>
        </w:numPr>
        <w:adjustRightInd w:val="0"/>
        <w:snapToGrid w:val="0"/>
        <w:spacing w:line="360" w:lineRule="auto"/>
        <w:ind w:firstLine="480"/>
        <w:rPr>
          <w:color w:val="auto"/>
          <w:sz w:val="24"/>
        </w:rPr>
      </w:pPr>
      <w:r>
        <w:rPr>
          <w:rFonts w:hint="eastAsia"/>
          <w:color w:val="auto"/>
          <w:sz w:val="24"/>
          <w:lang w:val="en-US" w:eastAsia="zh-CN"/>
        </w:rPr>
        <w:t>全国饮水型砷中毒病区砷中毒患者数为4057人，</w:t>
      </w:r>
      <w:r>
        <w:rPr>
          <w:rFonts w:hint="eastAsia"/>
          <w:color w:val="auto"/>
          <w:sz w:val="24"/>
        </w:rPr>
        <w:t>未发现</w:t>
      </w:r>
      <w:r>
        <w:rPr>
          <w:rFonts w:hint="eastAsia"/>
          <w:color w:val="auto"/>
          <w:sz w:val="24"/>
          <w:lang w:val="en-US" w:eastAsia="zh-CN"/>
        </w:rPr>
        <w:t>确诊的</w:t>
      </w:r>
      <w:r>
        <w:rPr>
          <w:rFonts w:hint="eastAsia"/>
          <w:color w:val="auto"/>
          <w:sz w:val="24"/>
        </w:rPr>
        <w:t>砷中毒新发病例。</w:t>
      </w:r>
    </w:p>
    <w:p>
      <w:pPr>
        <w:pStyle w:val="10"/>
        <w:numPr>
          <w:ilvl w:val="0"/>
          <w:numId w:val="2"/>
        </w:numPr>
        <w:adjustRightInd w:val="0"/>
        <w:snapToGrid w:val="0"/>
        <w:spacing w:line="360" w:lineRule="auto"/>
        <w:ind w:firstLine="480"/>
        <w:rPr>
          <w:color w:val="auto"/>
          <w:sz w:val="24"/>
        </w:rPr>
      </w:pPr>
      <w:r>
        <w:rPr>
          <w:rFonts w:hint="eastAsia"/>
          <w:color w:val="auto"/>
          <w:sz w:val="24"/>
          <w:lang w:val="en-US" w:eastAsia="zh-CN"/>
        </w:rPr>
        <w:t>按照大型工程0.01mg/L和小型工程0.05mg/L的标准，饮水型砷中毒病区（高砷）村的消除率为98.47%（2508/2547），病区（高砷）县的消除率为99.17%（119/120）；按照0.01mg/L的统一标准，饮水型砷中毒病区（高砷）村的消除率为91.44%（2329/2547），病区（高砷）县的消除率为89.17%（107/120）</w:t>
      </w:r>
      <w:r>
        <w:rPr>
          <w:rFonts w:hint="eastAsia"/>
          <w:color w:val="auto"/>
          <w:sz w:val="24"/>
        </w:rPr>
        <w:t>。</w:t>
      </w:r>
    </w:p>
    <w:p>
      <w:pPr>
        <w:pStyle w:val="32"/>
        <w:spacing w:line="360" w:lineRule="auto"/>
        <w:ind w:firstLine="482"/>
        <w:rPr>
          <w:rFonts w:hint="default" w:hAnsi="宋体" w:eastAsia="宋体" w:cs="Times New Roman"/>
          <w:b/>
          <w:sz w:val="24"/>
          <w:szCs w:val="24"/>
          <w:lang w:val="en-US" w:eastAsia="zh-CN"/>
        </w:rPr>
      </w:pPr>
      <w:r>
        <w:rPr>
          <w:rFonts w:hint="eastAsia" w:hAnsi="宋体" w:eastAsia="宋体" w:cs="Times New Roman"/>
          <w:b/>
          <w:sz w:val="24"/>
          <w:szCs w:val="24"/>
          <w:lang w:val="en-US" w:eastAsia="zh-CN"/>
        </w:rPr>
        <w:t>四</w:t>
      </w:r>
      <w:r>
        <w:rPr>
          <w:rFonts w:hAnsi="宋体" w:eastAsia="宋体" w:cs="Times New Roman"/>
          <w:b/>
          <w:sz w:val="24"/>
          <w:szCs w:val="24"/>
        </w:rPr>
        <w:t>、</w:t>
      </w:r>
      <w:r>
        <w:rPr>
          <w:rFonts w:hint="eastAsia" w:hAnsi="宋体" w:eastAsia="宋体" w:cs="Times New Roman"/>
          <w:b/>
          <w:sz w:val="24"/>
          <w:szCs w:val="24"/>
          <w:lang w:val="en-US" w:eastAsia="zh-CN"/>
        </w:rPr>
        <w:t>存在的问题和下一步工作建议</w:t>
      </w:r>
    </w:p>
    <w:p>
      <w:pPr>
        <w:pStyle w:val="32"/>
        <w:spacing w:line="360" w:lineRule="auto"/>
        <w:ind w:firstLine="482"/>
        <w:rPr>
          <w:rFonts w:hint="default" w:hAnsi="宋体" w:eastAsia="宋体" w:cs="Times New Roman"/>
          <w:b/>
          <w:sz w:val="24"/>
          <w:szCs w:val="24"/>
          <w:lang w:val="en-US" w:eastAsia="zh-CN"/>
        </w:rPr>
      </w:pPr>
      <w:r>
        <w:rPr>
          <w:rFonts w:hint="eastAsia" w:hAnsi="宋体" w:eastAsia="宋体" w:cs="Times New Roman"/>
          <w:b/>
          <w:sz w:val="24"/>
          <w:szCs w:val="24"/>
          <w:lang w:val="en-US" w:eastAsia="zh-CN"/>
        </w:rPr>
        <w:t>（一）个别地区饮水高砷暴露依然存在</w:t>
      </w:r>
    </w:p>
    <w:p>
      <w:pPr>
        <w:pStyle w:val="10"/>
        <w:numPr>
          <w:ilvl w:val="0"/>
          <w:numId w:val="0"/>
        </w:num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目前，全国饮水型砷中毒病区（高砷）村基本全部落实了改水措施，但是本年度监测结果显示，内蒙古托克托县一处小型工程水砷0.208mg/L，覆盖450人，</w:t>
      </w:r>
      <w:r>
        <w:rPr>
          <w:rFonts w:hint="eastAsia" w:cs="Times New Roman"/>
          <w:color w:val="auto"/>
          <w:sz w:val="24"/>
          <w:lang w:val="en-US" w:eastAsia="zh-CN"/>
        </w:rPr>
        <w:t>另</w:t>
      </w:r>
      <w:r>
        <w:rPr>
          <w:rFonts w:hint="eastAsia" w:ascii="Times New Roman" w:hAnsi="Times New Roman" w:cs="Times New Roman"/>
          <w:color w:val="auto"/>
          <w:sz w:val="24"/>
          <w:lang w:val="en-US" w:eastAsia="zh-CN"/>
        </w:rPr>
        <w:t>一处小型工程水砷0.081mg/L，覆盖825人，新疆乌苏市一处小型工程水砷0.13mg/L，覆盖人口495人。上述工程虽</w:t>
      </w:r>
      <w:r>
        <w:rPr>
          <w:rFonts w:hint="eastAsia" w:cs="Times New Roman"/>
          <w:color w:val="auto"/>
          <w:sz w:val="24"/>
          <w:lang w:val="en-US" w:eastAsia="zh-CN"/>
        </w:rPr>
        <w:t>然</w:t>
      </w:r>
      <w:r>
        <w:rPr>
          <w:rFonts w:hint="eastAsia" w:ascii="Times New Roman" w:hAnsi="Times New Roman" w:cs="Times New Roman"/>
          <w:color w:val="auto"/>
          <w:sz w:val="24"/>
          <w:lang w:val="en-US" w:eastAsia="zh-CN"/>
        </w:rPr>
        <w:t>供水范围较小，但危害不容忽视。此外，内蒙古杭锦后旗一处大型工程水砷0.017mg/L，覆盖36个村，风险同样不容忽视。</w:t>
      </w:r>
      <w:r>
        <w:rPr>
          <w:rFonts w:hint="eastAsia" w:cs="Times New Roman"/>
          <w:color w:val="auto"/>
          <w:sz w:val="24"/>
          <w:lang w:val="en-US" w:eastAsia="zh-CN"/>
        </w:rPr>
        <w:t>建议在上述</w:t>
      </w:r>
      <w:r>
        <w:rPr>
          <w:rFonts w:hint="eastAsia" w:ascii="Times New Roman" w:hAnsi="Times New Roman" w:cs="Times New Roman"/>
          <w:color w:val="auto"/>
          <w:sz w:val="24"/>
          <w:lang w:val="en-US" w:eastAsia="zh-CN"/>
        </w:rPr>
        <w:t>地区应尽快落实改水措施，同时加强对所有病区</w:t>
      </w:r>
      <w:r>
        <w:rPr>
          <w:rFonts w:hint="eastAsia" w:cs="Times New Roman"/>
          <w:color w:val="auto"/>
          <w:sz w:val="24"/>
          <w:lang w:val="en-US" w:eastAsia="zh-CN"/>
        </w:rPr>
        <w:t>和高砷区</w:t>
      </w:r>
      <w:r>
        <w:rPr>
          <w:rFonts w:hint="eastAsia" w:ascii="Times New Roman" w:hAnsi="Times New Roman" w:cs="Times New Roman"/>
          <w:color w:val="auto"/>
          <w:sz w:val="24"/>
          <w:lang w:val="en-US" w:eastAsia="zh-CN"/>
        </w:rPr>
        <w:t>的监测，及时发现</w:t>
      </w:r>
      <w:r>
        <w:rPr>
          <w:rFonts w:hint="eastAsia" w:cs="Times New Roman"/>
          <w:color w:val="auto"/>
          <w:sz w:val="24"/>
          <w:lang w:val="en-US" w:eastAsia="zh-CN"/>
        </w:rPr>
        <w:t>饮水</w:t>
      </w:r>
      <w:r>
        <w:rPr>
          <w:rFonts w:hint="eastAsia" w:ascii="Times New Roman" w:hAnsi="Times New Roman" w:cs="Times New Roman"/>
          <w:color w:val="auto"/>
          <w:sz w:val="24"/>
          <w:lang w:val="en-US" w:eastAsia="zh-CN"/>
        </w:rPr>
        <w:t>高砷暴露风险，加强部门沟通、协作，及时整改，以保障病区居民</w:t>
      </w:r>
      <w:r>
        <w:rPr>
          <w:rFonts w:hint="eastAsia" w:cs="Times New Roman"/>
          <w:color w:val="auto"/>
          <w:sz w:val="24"/>
          <w:lang w:val="en-US" w:eastAsia="zh-CN"/>
        </w:rPr>
        <w:t>身体</w:t>
      </w:r>
      <w:r>
        <w:rPr>
          <w:rFonts w:hint="eastAsia" w:ascii="Times New Roman" w:hAnsi="Times New Roman" w:cs="Times New Roman"/>
          <w:color w:val="auto"/>
          <w:sz w:val="24"/>
          <w:lang w:val="en-US" w:eastAsia="zh-CN"/>
        </w:rPr>
        <w:t>健康。</w:t>
      </w:r>
    </w:p>
    <w:p>
      <w:pPr>
        <w:pStyle w:val="32"/>
        <w:spacing w:line="360" w:lineRule="auto"/>
        <w:ind w:firstLine="482"/>
        <w:rPr>
          <w:rFonts w:hint="eastAsia" w:hAnsi="宋体" w:eastAsia="宋体" w:cs="Times New Roman"/>
          <w:b/>
          <w:sz w:val="24"/>
          <w:szCs w:val="24"/>
          <w:lang w:val="en-US" w:eastAsia="zh-CN"/>
        </w:rPr>
      </w:pPr>
      <w:r>
        <w:rPr>
          <w:rFonts w:hint="eastAsia" w:hAnsi="宋体" w:eastAsia="宋体" w:cs="Times New Roman"/>
          <w:b/>
          <w:sz w:val="24"/>
          <w:szCs w:val="24"/>
          <w:lang w:val="en-US" w:eastAsia="zh-CN"/>
        </w:rPr>
        <w:t>（二）新版</w:t>
      </w:r>
      <w:r>
        <w:rPr>
          <w:rFonts w:hint="eastAsia" w:hAnsi="宋体" w:eastAsia="宋体" w:cs="Times New Roman"/>
          <w:b/>
          <w:sz w:val="24"/>
          <w:szCs w:val="24"/>
        </w:rPr>
        <w:t>生活饮用水卫生标准</w:t>
      </w:r>
      <w:r>
        <w:rPr>
          <w:rFonts w:hint="eastAsia" w:hAnsi="宋体" w:eastAsia="宋体" w:cs="Times New Roman"/>
          <w:b/>
          <w:sz w:val="24"/>
          <w:szCs w:val="24"/>
          <w:lang w:val="en-US" w:eastAsia="zh-CN"/>
        </w:rPr>
        <w:t>的发布降低了饮水型砷中毒病区的消除达标水平</w:t>
      </w:r>
    </w:p>
    <w:p>
      <w:pPr>
        <w:spacing w:line="360" w:lineRule="auto"/>
        <w:ind w:firstLine="480" w:firstLineChars="200"/>
        <w:rPr>
          <w:rFonts w:hint="eastAsia"/>
          <w:highlight w:val="none"/>
          <w:lang w:val="en-US" w:eastAsia="zh-CN"/>
        </w:rPr>
      </w:pPr>
      <w:r>
        <w:rPr>
          <w:rFonts w:hint="eastAsia"/>
        </w:rPr>
        <w:t>《生活饮用水卫生标准》</w:t>
      </w:r>
      <w:r>
        <w:rPr>
          <w:rFonts w:hint="eastAsia"/>
          <w:lang w:eastAsia="zh-CN"/>
        </w:rPr>
        <w:t>（</w:t>
      </w:r>
      <w:r>
        <w:rPr>
          <w:rFonts w:hint="eastAsia"/>
        </w:rPr>
        <w:t>GB 5749-2022</w:t>
      </w:r>
      <w:r>
        <w:rPr>
          <w:rFonts w:hint="eastAsia"/>
          <w:lang w:eastAsia="zh-CN"/>
        </w:rPr>
        <w:t>）</w:t>
      </w:r>
      <w:r>
        <w:rPr>
          <w:rFonts w:hint="eastAsia"/>
        </w:rPr>
        <w:t>于2022年3月15日发布，代替《生活饮用水卫生标准》</w:t>
      </w:r>
      <w:r>
        <w:rPr>
          <w:rFonts w:hint="eastAsia"/>
          <w:lang w:eastAsia="zh-CN"/>
        </w:rPr>
        <w:t>（</w:t>
      </w:r>
      <w:r>
        <w:rPr>
          <w:rFonts w:hint="eastAsia"/>
        </w:rPr>
        <w:t>GB 5749-2006</w:t>
      </w:r>
      <w:r>
        <w:rPr>
          <w:rFonts w:hint="eastAsia"/>
          <w:lang w:eastAsia="zh-CN"/>
        </w:rPr>
        <w:t>）</w:t>
      </w:r>
      <w:r>
        <w:rPr>
          <w:rFonts w:hint="eastAsia"/>
        </w:rPr>
        <w:t>，自2023年4月1日</w:t>
      </w:r>
      <w:r>
        <w:rPr>
          <w:rFonts w:hint="eastAsia"/>
          <w:highlight w:val="none"/>
        </w:rPr>
        <w:t>起实施。该文件中将生活饮用水砷含量的限值统一规定为0.01</w:t>
      </w:r>
      <w:r>
        <w:rPr>
          <w:highlight w:val="none"/>
        </w:rPr>
        <w:t>mg/L</w:t>
      </w:r>
      <w:r>
        <w:rPr>
          <w:rFonts w:hint="eastAsia"/>
          <w:highlight w:val="none"/>
        </w:rPr>
        <w:t>，不再区分大型/小型集中供水</w:t>
      </w:r>
      <w:r>
        <w:rPr>
          <w:rFonts w:hint="eastAsia"/>
          <w:highlight w:val="none"/>
          <w:lang w:eastAsia="zh-CN"/>
        </w:rPr>
        <w:t>，</w:t>
      </w:r>
      <w:r>
        <w:rPr>
          <w:rFonts w:hint="eastAsia"/>
          <w:highlight w:val="none"/>
          <w:lang w:val="en-US" w:eastAsia="zh-CN"/>
        </w:rPr>
        <w:t>按此标准，全国已改水的地方性砷中毒病区（高砷）村消除率由98.47%下降为91.44%，病区（高砷）县消除率</w:t>
      </w:r>
      <w:r>
        <w:rPr>
          <w:rFonts w:hint="eastAsia" w:ascii="Times New Roman" w:hAnsi="Times New Roman" w:cs="Times New Roman"/>
          <w:highlight w:val="none"/>
          <w:lang w:val="en-US" w:eastAsia="zh-CN"/>
        </w:rPr>
        <w:t>由为99.17%</w:t>
      </w:r>
      <w:r>
        <w:rPr>
          <w:rFonts w:hint="eastAsia" w:cs="Times New Roman"/>
          <w:highlight w:val="none"/>
          <w:lang w:val="en-US" w:eastAsia="zh-CN"/>
        </w:rPr>
        <w:t>下</w:t>
      </w:r>
      <w:r>
        <w:rPr>
          <w:rFonts w:hint="eastAsia" w:ascii="Times New Roman" w:hAnsi="Times New Roman" w:cs="Times New Roman"/>
          <w:highlight w:val="none"/>
          <w:lang w:val="en-US" w:eastAsia="zh-CN"/>
        </w:rPr>
        <w:t>降为89.17%</w:t>
      </w:r>
      <w:r>
        <w:rPr>
          <w:rFonts w:hint="eastAsia"/>
          <w:highlight w:val="none"/>
          <w:lang w:eastAsia="zh-CN"/>
        </w:rPr>
        <w:t>。</w:t>
      </w:r>
      <w:r>
        <w:rPr>
          <w:rFonts w:hint="eastAsia"/>
          <w:highlight w:val="none"/>
          <w:lang w:val="en-US" w:eastAsia="zh-CN"/>
        </w:rPr>
        <w:t>此外，全国饮水型高砷区的范围将有所扩大。上述情况为今后我国饮水型砷中毒的防治和消除带来挑战。</w:t>
      </w:r>
    </w:p>
    <w:p>
      <w:pPr>
        <w:spacing w:line="360" w:lineRule="auto"/>
        <w:ind w:firstLine="482" w:firstLineChars="200"/>
        <w:rPr>
          <w:rFonts w:hint="eastAsia"/>
          <w:b/>
          <w:bCs/>
          <w:highlight w:val="none"/>
          <w:lang w:val="en-US" w:eastAsia="zh-CN"/>
        </w:rPr>
      </w:pPr>
      <w:r>
        <w:rPr>
          <w:rFonts w:hint="eastAsia"/>
          <w:b/>
          <w:bCs/>
          <w:highlight w:val="none"/>
          <w:lang w:val="en-US" w:eastAsia="zh-CN"/>
        </w:rPr>
        <w:t>（三）饮水型砷中毒病区消除评价结果出现反复</w:t>
      </w:r>
    </w:p>
    <w:p>
      <w:pPr>
        <w:spacing w:line="360" w:lineRule="auto"/>
        <w:ind w:firstLine="480"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按照2019年版饮水型地方性砷中毒消除评价办法，饮水砷含量符合国家生活饮用水卫生标准（GB5749），除与砷相关的癌症患者外，无地方性砷中毒新发病例即可判定病区（高砷）村达到消除标准；当病区（高砷）县95%及以上的病区（高砷）村达到消除标准时，可判定该县达到消除标准。在实际监测过程中</w:t>
      </w:r>
      <w:r>
        <w:rPr>
          <w:rFonts w:hint="eastAsia" w:cs="Times New Roman"/>
          <w:highlight w:val="none"/>
          <w:lang w:val="en-US" w:eastAsia="zh-CN"/>
        </w:rPr>
        <w:t>发现</w:t>
      </w:r>
      <w:r>
        <w:rPr>
          <w:rFonts w:hint="eastAsia" w:ascii="Times New Roman" w:hAnsi="Times New Roman" w:cs="Times New Roman"/>
          <w:highlight w:val="none"/>
          <w:lang w:val="en-US" w:eastAsia="zh-CN"/>
        </w:rPr>
        <w:t>，一些村的水砷浓度在不同年度会有所波动，正好高于或低于标准限值，导致这些村的消除评价结果出现反复。同时，有些病区（高砷）县的病区（高砷）村数量较少，个别村消除评价结果的变化将会直接影响该县的消除评价结果。按照新的生活饮用水标准，饮水型砷中毒病（高砷）区消除评价结果在年度间的波动进一步增大。建议对目前的饮水型砷中毒病区消除评价标准进行修改完善，避免因水砷浓度的轻微波动导致消除评价结果在短时间内出现较大变化。</w:t>
      </w:r>
    </w:p>
    <w:p>
      <w:pPr>
        <w:spacing w:line="360" w:lineRule="auto"/>
        <w:ind w:firstLine="482" w:firstLineChars="200"/>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（四）个别省份没有按照监测方案的要求开展砷中毒</w:t>
      </w:r>
      <w:r>
        <w:rPr>
          <w:rFonts w:hint="eastAsia" w:cs="Times New Roman"/>
          <w:b/>
          <w:bCs/>
          <w:highlight w:val="none"/>
          <w:lang w:val="en-US" w:eastAsia="zh-CN"/>
        </w:rPr>
        <w:t>病情</w:t>
      </w:r>
      <w:r>
        <w:rPr>
          <w:rFonts w:hint="eastAsia" w:ascii="Times New Roman" w:hAnsi="Times New Roman" w:cs="Times New Roman"/>
          <w:b/>
          <w:bCs/>
          <w:highlight w:val="none"/>
          <w:lang w:val="en-US" w:eastAsia="zh-CN"/>
        </w:rPr>
        <w:t>调查</w:t>
      </w:r>
    </w:p>
    <w:p>
      <w:pPr>
        <w:spacing w:line="360" w:lineRule="auto"/>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由于疫情等一些原因，内蒙古、山西、河南以及甘肃的部分监测点未开展砷中毒病情调查。鉴于在局部地区仍有可疑</w:t>
      </w:r>
      <w:r>
        <w:rPr>
          <w:rFonts w:hint="eastAsia" w:cs="Times New Roman"/>
          <w:highlight w:val="none"/>
          <w:lang w:val="en-US" w:eastAsia="zh-CN"/>
        </w:rPr>
        <w:t>的</w:t>
      </w:r>
      <w:r>
        <w:rPr>
          <w:rFonts w:hint="eastAsia" w:ascii="Times New Roman" w:hAnsi="Times New Roman" w:cs="Times New Roman"/>
          <w:highlight w:val="none"/>
          <w:lang w:val="en-US" w:eastAsia="zh-CN"/>
        </w:rPr>
        <w:t>砷中毒患者检出，今后</w:t>
      </w:r>
      <w:r>
        <w:rPr>
          <w:rFonts w:hint="eastAsia" w:cs="Times New Roman"/>
          <w:highlight w:val="none"/>
          <w:lang w:val="en-US" w:eastAsia="zh-CN"/>
        </w:rPr>
        <w:t>各省份</w:t>
      </w:r>
      <w:r>
        <w:rPr>
          <w:rFonts w:hint="eastAsia" w:ascii="Times New Roman" w:hAnsi="Times New Roman" w:cs="Times New Roman"/>
          <w:highlight w:val="none"/>
          <w:lang w:val="en-US" w:eastAsia="zh-CN"/>
        </w:rPr>
        <w:t>应严格按照监测方案的要求，完成砷中毒病情调查工作。</w:t>
      </w:r>
    </w:p>
    <w:p>
      <w:pPr>
        <w:numPr>
          <w:ilvl w:val="0"/>
          <w:numId w:val="0"/>
        </w:numPr>
        <w:spacing w:line="360" w:lineRule="auto"/>
        <w:ind w:leftChars="200"/>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（五）个别病区</w:t>
      </w:r>
      <w:r>
        <w:rPr>
          <w:rFonts w:hint="eastAsia" w:cs="Times New Roman"/>
          <w:b/>
          <w:bCs/>
          <w:highlight w:val="none"/>
          <w:lang w:val="en-US" w:eastAsia="zh-CN"/>
        </w:rPr>
        <w:t>的</w:t>
      </w:r>
      <w:r>
        <w:rPr>
          <w:rFonts w:hint="eastAsia" w:ascii="Times New Roman" w:hAnsi="Times New Roman" w:cs="Times New Roman"/>
          <w:b/>
          <w:bCs/>
          <w:highlight w:val="none"/>
          <w:lang w:val="en-US" w:eastAsia="zh-CN"/>
        </w:rPr>
        <w:t>群众健康意识不足</w:t>
      </w:r>
    </w:p>
    <w:p>
      <w:pPr>
        <w:spacing w:line="560" w:lineRule="exact"/>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经监测发现，</w:t>
      </w:r>
      <w:r>
        <w:rPr>
          <w:rFonts w:hint="eastAsia" w:cs="Times New Roman"/>
          <w:highlight w:val="none"/>
          <w:lang w:val="en-US" w:eastAsia="zh-CN"/>
        </w:rPr>
        <w:t>在</w:t>
      </w:r>
      <w:r>
        <w:rPr>
          <w:rFonts w:hint="eastAsia" w:ascii="Times New Roman" w:hAnsi="Times New Roman" w:cs="Times New Roman"/>
          <w:highlight w:val="none"/>
          <w:lang w:val="en-US" w:eastAsia="zh-CN"/>
        </w:rPr>
        <w:t>云南</w:t>
      </w:r>
      <w:r>
        <w:rPr>
          <w:rFonts w:hint="eastAsia" w:cs="Times New Roman"/>
          <w:highlight w:val="none"/>
          <w:lang w:val="en-US" w:eastAsia="zh-CN"/>
        </w:rPr>
        <w:t>省的</w:t>
      </w:r>
      <w:r>
        <w:rPr>
          <w:rFonts w:hint="eastAsia" w:ascii="Times New Roman" w:hAnsi="Times New Roman" w:cs="Times New Roman"/>
          <w:highlight w:val="none"/>
          <w:lang w:val="en-US" w:eastAsia="zh-CN"/>
        </w:rPr>
        <w:t>部分病区群众中仍然存在直接饮用高砷水或使用高砷水煮饭的现象，特别是雨季，自来水有时会出现浑浊现象，此现象更甚。四川稻城县存在少许住户饮用水砷超标温泉水的情况。在上述地区，应积极开展地砷病防治的健康教育宣传，提高群众防病意识，杜绝居民饮用高砷水的情况，巩固防治成果。</w:t>
      </w:r>
    </w:p>
    <w:p>
      <w:pPr>
        <w:spacing w:line="360" w:lineRule="auto"/>
        <w:ind w:firstLine="482" w:firstLineChars="200"/>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（六）基层防治队伍不稳定，防治技术力量有待加强</w:t>
      </w:r>
    </w:p>
    <w:bookmarkEnd w:id="0"/>
    <w:bookmarkEnd w:id="1"/>
    <w:bookmarkEnd w:id="2"/>
    <w:bookmarkEnd w:id="3"/>
    <w:p>
      <w:pPr>
        <w:spacing w:line="560" w:lineRule="exact"/>
        <w:ind w:firstLine="480" w:firstLineChars="200"/>
        <w:rPr>
          <w:rFonts w:hint="default" w:cs="Times New Roman"/>
          <w:bCs/>
          <w:sz w:val="24"/>
          <w:szCs w:val="24"/>
          <w:lang w:val="en-US" w:eastAsia="zh-CN"/>
        </w:rPr>
      </w:pPr>
      <w:r>
        <w:rPr>
          <w:rFonts w:hint="eastAsia" w:ascii="Times New Roman" w:hAnsi="Times New Roman" w:cs="Times New Roman"/>
          <w:highlight w:val="none"/>
          <w:lang w:val="en-US" w:eastAsia="zh-CN"/>
        </w:rPr>
        <w:t>近年来，全国地砷病病区或高砷区省份实施全覆盖监测工作，工作量大幅提升。一些基层单位防治队伍不稳定，技术力量薄弱，不能满足监测防治工作需</w:t>
      </w:r>
      <w:r>
        <w:rPr>
          <w:rFonts w:hint="eastAsia" w:cs="Times New Roman"/>
          <w:highlight w:val="none"/>
          <w:lang w:val="en-US" w:eastAsia="zh-CN"/>
        </w:rPr>
        <w:t>求</w:t>
      </w:r>
      <w:r>
        <w:rPr>
          <w:rFonts w:hint="eastAsia" w:ascii="Times New Roman" w:hAnsi="Times New Roman" w:cs="Times New Roman"/>
          <w:highlight w:val="none"/>
          <w:lang w:val="en-US" w:eastAsia="zh-CN"/>
        </w:rPr>
        <w:t>。各省级卫生健康部门及疾控部门要进一步加强基层地方病专业人员队伍建设，加强防治技术培训，持续保障全国地方性砷中毒监测</w:t>
      </w:r>
      <w:r>
        <w:rPr>
          <w:rFonts w:hint="eastAsia" w:cs="Times New Roman"/>
          <w:highlight w:val="none"/>
          <w:lang w:val="en-US" w:eastAsia="zh-CN"/>
        </w:rPr>
        <w:t>的</w:t>
      </w:r>
      <w:r>
        <w:rPr>
          <w:rFonts w:hint="eastAsia" w:ascii="Times New Roman" w:hAnsi="Times New Roman" w:cs="Times New Roman"/>
          <w:highlight w:val="none"/>
          <w:lang w:val="en-US" w:eastAsia="zh-CN"/>
        </w:rPr>
        <w:t>质量。</w:t>
      </w:r>
    </w:p>
    <w:p>
      <w:pPr>
        <w:widowControl/>
        <w:rPr>
          <w:rFonts w:ascii="宋体" w:hAnsi="宋体"/>
          <w:b/>
          <w:sz w:val="21"/>
          <w:szCs w:val="21"/>
        </w:rPr>
      </w:pPr>
      <w:r>
        <w:rPr>
          <w:rFonts w:hint="eastAsia"/>
          <w:bCs/>
          <w:sz w:val="21"/>
          <w:szCs w:val="21"/>
        </w:rPr>
        <w:t>致谢：感谢各项目省（自治区、直辖市）疾病预防控制中心（地方病防治研究所）以及参加项目工作的各监测县疾病预防控制中心的同志们！</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5"/>
      </w:rPr>
      <w:fldChar w:fldCharType="begin"/>
    </w:r>
    <w:r>
      <w:rPr>
        <w:rStyle w:val="15"/>
      </w:rPr>
      <w:instrText xml:space="preserve"> PAGE </w:instrText>
    </w:r>
    <w:r>
      <w:rPr>
        <w:rStyle w:val="15"/>
      </w:rPr>
      <w:fldChar w:fldCharType="separate"/>
    </w:r>
    <w:r>
      <w:rPr>
        <w:rStyle w:val="15"/>
      </w:rPr>
      <w:t>4</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8983"/>
    <w:multiLevelType w:val="singleLevel"/>
    <w:tmpl w:val="80468983"/>
    <w:lvl w:ilvl="0" w:tentative="0">
      <w:start w:val="1"/>
      <w:numFmt w:val="chineseCounting"/>
      <w:suff w:val="nothing"/>
      <w:lvlText w:val="（%1）"/>
      <w:lvlJc w:val="left"/>
      <w:rPr>
        <w:rFonts w:hint="eastAsia"/>
      </w:rPr>
    </w:lvl>
  </w:abstractNum>
  <w:abstractNum w:abstractNumId="1">
    <w:nsid w:val="7388DDD2"/>
    <w:multiLevelType w:val="singleLevel"/>
    <w:tmpl w:val="7388DDD2"/>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Y2JhMDlmMTMxOGMwOGQ1MjIzMmQ3OWFkNDgifQ=="/>
    <w:docVar w:name="KY_MEDREF_DOCUID" w:val="{B09A4528-1539-40BA-BA8D-0FBC0837783F}"/>
    <w:docVar w:name="KY_MEDREF_VERSION" w:val="3"/>
  </w:docVars>
  <w:rsids>
    <w:rsidRoot w:val="00070F60"/>
    <w:rsid w:val="0000038C"/>
    <w:rsid w:val="00001233"/>
    <w:rsid w:val="00001B46"/>
    <w:rsid w:val="00002121"/>
    <w:rsid w:val="00002DC6"/>
    <w:rsid w:val="000036D9"/>
    <w:rsid w:val="00004821"/>
    <w:rsid w:val="00007396"/>
    <w:rsid w:val="0001029C"/>
    <w:rsid w:val="00010D49"/>
    <w:rsid w:val="000113EF"/>
    <w:rsid w:val="00011F5E"/>
    <w:rsid w:val="000124B6"/>
    <w:rsid w:val="00012C69"/>
    <w:rsid w:val="0001370F"/>
    <w:rsid w:val="00015336"/>
    <w:rsid w:val="000155AD"/>
    <w:rsid w:val="000156DF"/>
    <w:rsid w:val="00015AA5"/>
    <w:rsid w:val="00016C43"/>
    <w:rsid w:val="000171AE"/>
    <w:rsid w:val="00017D38"/>
    <w:rsid w:val="00020CCD"/>
    <w:rsid w:val="00020F0A"/>
    <w:rsid w:val="00021675"/>
    <w:rsid w:val="000227A2"/>
    <w:rsid w:val="00022809"/>
    <w:rsid w:val="000231DC"/>
    <w:rsid w:val="000237B8"/>
    <w:rsid w:val="00023A0D"/>
    <w:rsid w:val="00023C15"/>
    <w:rsid w:val="00023DA5"/>
    <w:rsid w:val="00024F7E"/>
    <w:rsid w:val="00030141"/>
    <w:rsid w:val="00030CBE"/>
    <w:rsid w:val="0003109B"/>
    <w:rsid w:val="000311B1"/>
    <w:rsid w:val="00031B67"/>
    <w:rsid w:val="0003209E"/>
    <w:rsid w:val="0003340E"/>
    <w:rsid w:val="000336EA"/>
    <w:rsid w:val="00034B65"/>
    <w:rsid w:val="00034D93"/>
    <w:rsid w:val="0003505F"/>
    <w:rsid w:val="0003531C"/>
    <w:rsid w:val="00036AE4"/>
    <w:rsid w:val="000377EC"/>
    <w:rsid w:val="00040CD9"/>
    <w:rsid w:val="0004258A"/>
    <w:rsid w:val="0004373E"/>
    <w:rsid w:val="00043908"/>
    <w:rsid w:val="00043ADD"/>
    <w:rsid w:val="00046409"/>
    <w:rsid w:val="000468DE"/>
    <w:rsid w:val="00046BD5"/>
    <w:rsid w:val="00046CFD"/>
    <w:rsid w:val="00046D43"/>
    <w:rsid w:val="000502FB"/>
    <w:rsid w:val="00050308"/>
    <w:rsid w:val="000528BE"/>
    <w:rsid w:val="00052E5E"/>
    <w:rsid w:val="0005369F"/>
    <w:rsid w:val="00053988"/>
    <w:rsid w:val="000539E6"/>
    <w:rsid w:val="00054293"/>
    <w:rsid w:val="000551D8"/>
    <w:rsid w:val="00056982"/>
    <w:rsid w:val="000574B4"/>
    <w:rsid w:val="000574FC"/>
    <w:rsid w:val="000576FB"/>
    <w:rsid w:val="00057A99"/>
    <w:rsid w:val="00060107"/>
    <w:rsid w:val="00060116"/>
    <w:rsid w:val="000625BC"/>
    <w:rsid w:val="0006269C"/>
    <w:rsid w:val="00063A4C"/>
    <w:rsid w:val="00064628"/>
    <w:rsid w:val="000650BA"/>
    <w:rsid w:val="0006610B"/>
    <w:rsid w:val="0006706D"/>
    <w:rsid w:val="00070F60"/>
    <w:rsid w:val="00071235"/>
    <w:rsid w:val="00071CCB"/>
    <w:rsid w:val="00071D50"/>
    <w:rsid w:val="00073E3F"/>
    <w:rsid w:val="00074525"/>
    <w:rsid w:val="000748EA"/>
    <w:rsid w:val="00074C48"/>
    <w:rsid w:val="00076AC0"/>
    <w:rsid w:val="00077334"/>
    <w:rsid w:val="000774EE"/>
    <w:rsid w:val="0007774D"/>
    <w:rsid w:val="000806A0"/>
    <w:rsid w:val="000810B8"/>
    <w:rsid w:val="000815C8"/>
    <w:rsid w:val="000833AD"/>
    <w:rsid w:val="000839FE"/>
    <w:rsid w:val="0008425C"/>
    <w:rsid w:val="00085DD2"/>
    <w:rsid w:val="00085E16"/>
    <w:rsid w:val="000870F6"/>
    <w:rsid w:val="0008776E"/>
    <w:rsid w:val="00091967"/>
    <w:rsid w:val="00091AAA"/>
    <w:rsid w:val="00092C68"/>
    <w:rsid w:val="0009301D"/>
    <w:rsid w:val="00093655"/>
    <w:rsid w:val="00094414"/>
    <w:rsid w:val="000948BB"/>
    <w:rsid w:val="00095F5E"/>
    <w:rsid w:val="000971CF"/>
    <w:rsid w:val="00097650"/>
    <w:rsid w:val="00097818"/>
    <w:rsid w:val="0009781D"/>
    <w:rsid w:val="00097A6B"/>
    <w:rsid w:val="00097CDC"/>
    <w:rsid w:val="000A2D01"/>
    <w:rsid w:val="000A340F"/>
    <w:rsid w:val="000A479F"/>
    <w:rsid w:val="000A619C"/>
    <w:rsid w:val="000B1D77"/>
    <w:rsid w:val="000B2535"/>
    <w:rsid w:val="000B269E"/>
    <w:rsid w:val="000B2C05"/>
    <w:rsid w:val="000B41C5"/>
    <w:rsid w:val="000B5A0E"/>
    <w:rsid w:val="000B66E0"/>
    <w:rsid w:val="000B7130"/>
    <w:rsid w:val="000B7B5A"/>
    <w:rsid w:val="000C0EFB"/>
    <w:rsid w:val="000C3100"/>
    <w:rsid w:val="000C343C"/>
    <w:rsid w:val="000C354E"/>
    <w:rsid w:val="000C422E"/>
    <w:rsid w:val="000C72B3"/>
    <w:rsid w:val="000C735C"/>
    <w:rsid w:val="000C738A"/>
    <w:rsid w:val="000D0E20"/>
    <w:rsid w:val="000D1660"/>
    <w:rsid w:val="000D20BD"/>
    <w:rsid w:val="000D22BB"/>
    <w:rsid w:val="000D3302"/>
    <w:rsid w:val="000D3EEE"/>
    <w:rsid w:val="000D4785"/>
    <w:rsid w:val="000D5AEA"/>
    <w:rsid w:val="000D631B"/>
    <w:rsid w:val="000D6829"/>
    <w:rsid w:val="000D69F6"/>
    <w:rsid w:val="000D6E12"/>
    <w:rsid w:val="000D7788"/>
    <w:rsid w:val="000D7CE8"/>
    <w:rsid w:val="000E1FDD"/>
    <w:rsid w:val="000E2072"/>
    <w:rsid w:val="000E2EF7"/>
    <w:rsid w:val="000E40F2"/>
    <w:rsid w:val="000E4AB4"/>
    <w:rsid w:val="000E4F9A"/>
    <w:rsid w:val="000E539E"/>
    <w:rsid w:val="000E56B2"/>
    <w:rsid w:val="000F1711"/>
    <w:rsid w:val="000F1933"/>
    <w:rsid w:val="000F222D"/>
    <w:rsid w:val="000F39C7"/>
    <w:rsid w:val="000F42E3"/>
    <w:rsid w:val="000F4310"/>
    <w:rsid w:val="000F4D30"/>
    <w:rsid w:val="000F4ECB"/>
    <w:rsid w:val="000F5218"/>
    <w:rsid w:val="000F654A"/>
    <w:rsid w:val="000F6AC8"/>
    <w:rsid w:val="000F704B"/>
    <w:rsid w:val="000F724A"/>
    <w:rsid w:val="000F781D"/>
    <w:rsid w:val="0010167C"/>
    <w:rsid w:val="0010496F"/>
    <w:rsid w:val="00107473"/>
    <w:rsid w:val="00107B98"/>
    <w:rsid w:val="00112630"/>
    <w:rsid w:val="00113015"/>
    <w:rsid w:val="00113905"/>
    <w:rsid w:val="001144A7"/>
    <w:rsid w:val="001146FF"/>
    <w:rsid w:val="00114C8A"/>
    <w:rsid w:val="00114DD2"/>
    <w:rsid w:val="00114E87"/>
    <w:rsid w:val="00114F45"/>
    <w:rsid w:val="00115052"/>
    <w:rsid w:val="00115C79"/>
    <w:rsid w:val="00116AB5"/>
    <w:rsid w:val="00116AD8"/>
    <w:rsid w:val="00116F17"/>
    <w:rsid w:val="00121EE5"/>
    <w:rsid w:val="00123127"/>
    <w:rsid w:val="001243D3"/>
    <w:rsid w:val="001262D5"/>
    <w:rsid w:val="001263A4"/>
    <w:rsid w:val="00127A74"/>
    <w:rsid w:val="00127A77"/>
    <w:rsid w:val="00127B91"/>
    <w:rsid w:val="00131414"/>
    <w:rsid w:val="00132063"/>
    <w:rsid w:val="00132C01"/>
    <w:rsid w:val="00133740"/>
    <w:rsid w:val="00133D03"/>
    <w:rsid w:val="00134AAE"/>
    <w:rsid w:val="00136949"/>
    <w:rsid w:val="00136FA1"/>
    <w:rsid w:val="00136FB2"/>
    <w:rsid w:val="00137DE1"/>
    <w:rsid w:val="001400C7"/>
    <w:rsid w:val="001408D0"/>
    <w:rsid w:val="00140D11"/>
    <w:rsid w:val="00140DEF"/>
    <w:rsid w:val="00140EB8"/>
    <w:rsid w:val="001413A5"/>
    <w:rsid w:val="001419ED"/>
    <w:rsid w:val="00141B1A"/>
    <w:rsid w:val="00141D13"/>
    <w:rsid w:val="00141EAA"/>
    <w:rsid w:val="0014512B"/>
    <w:rsid w:val="00145AE2"/>
    <w:rsid w:val="0014609B"/>
    <w:rsid w:val="00146F72"/>
    <w:rsid w:val="0014763E"/>
    <w:rsid w:val="00150B53"/>
    <w:rsid w:val="00150BA0"/>
    <w:rsid w:val="00150DA3"/>
    <w:rsid w:val="00151343"/>
    <w:rsid w:val="00151B85"/>
    <w:rsid w:val="00151DCC"/>
    <w:rsid w:val="001527B9"/>
    <w:rsid w:val="00152E98"/>
    <w:rsid w:val="0015334E"/>
    <w:rsid w:val="00153707"/>
    <w:rsid w:val="0015430A"/>
    <w:rsid w:val="00154518"/>
    <w:rsid w:val="001566ED"/>
    <w:rsid w:val="00157483"/>
    <w:rsid w:val="001577A8"/>
    <w:rsid w:val="00160299"/>
    <w:rsid w:val="00160717"/>
    <w:rsid w:val="00160CFC"/>
    <w:rsid w:val="00162626"/>
    <w:rsid w:val="00162FF9"/>
    <w:rsid w:val="00163758"/>
    <w:rsid w:val="00164996"/>
    <w:rsid w:val="00166919"/>
    <w:rsid w:val="00170F5F"/>
    <w:rsid w:val="00171C5E"/>
    <w:rsid w:val="00173070"/>
    <w:rsid w:val="00173140"/>
    <w:rsid w:val="001737A3"/>
    <w:rsid w:val="00173827"/>
    <w:rsid w:val="0017413B"/>
    <w:rsid w:val="00175BA2"/>
    <w:rsid w:val="00175CE5"/>
    <w:rsid w:val="00176C86"/>
    <w:rsid w:val="00177766"/>
    <w:rsid w:val="00181A91"/>
    <w:rsid w:val="00182596"/>
    <w:rsid w:val="00182719"/>
    <w:rsid w:val="00182777"/>
    <w:rsid w:val="00182C5E"/>
    <w:rsid w:val="00183DD1"/>
    <w:rsid w:val="0018466C"/>
    <w:rsid w:val="00184800"/>
    <w:rsid w:val="00184A1D"/>
    <w:rsid w:val="00184A2B"/>
    <w:rsid w:val="00190747"/>
    <w:rsid w:val="001921D0"/>
    <w:rsid w:val="0019259E"/>
    <w:rsid w:val="00192BEB"/>
    <w:rsid w:val="00193CA5"/>
    <w:rsid w:val="00193CAF"/>
    <w:rsid w:val="00193F9B"/>
    <w:rsid w:val="00194CF0"/>
    <w:rsid w:val="00195C83"/>
    <w:rsid w:val="00195DB1"/>
    <w:rsid w:val="0019656D"/>
    <w:rsid w:val="00197794"/>
    <w:rsid w:val="001A1A18"/>
    <w:rsid w:val="001A3C3B"/>
    <w:rsid w:val="001A4E1F"/>
    <w:rsid w:val="001A772B"/>
    <w:rsid w:val="001A7B3C"/>
    <w:rsid w:val="001B1160"/>
    <w:rsid w:val="001B141E"/>
    <w:rsid w:val="001B193F"/>
    <w:rsid w:val="001B2F54"/>
    <w:rsid w:val="001B3AEF"/>
    <w:rsid w:val="001B3BEF"/>
    <w:rsid w:val="001B4FCB"/>
    <w:rsid w:val="001B574D"/>
    <w:rsid w:val="001B595C"/>
    <w:rsid w:val="001B5E6B"/>
    <w:rsid w:val="001B6F1D"/>
    <w:rsid w:val="001C0CBE"/>
    <w:rsid w:val="001C21A5"/>
    <w:rsid w:val="001C2222"/>
    <w:rsid w:val="001C3FB4"/>
    <w:rsid w:val="001C4A27"/>
    <w:rsid w:val="001C5916"/>
    <w:rsid w:val="001C71CB"/>
    <w:rsid w:val="001D0001"/>
    <w:rsid w:val="001D27C6"/>
    <w:rsid w:val="001D2BD4"/>
    <w:rsid w:val="001D2E9D"/>
    <w:rsid w:val="001D2F7E"/>
    <w:rsid w:val="001D3904"/>
    <w:rsid w:val="001D55CE"/>
    <w:rsid w:val="001D5F69"/>
    <w:rsid w:val="001D6A2F"/>
    <w:rsid w:val="001D6FDD"/>
    <w:rsid w:val="001D7247"/>
    <w:rsid w:val="001D731F"/>
    <w:rsid w:val="001D79A5"/>
    <w:rsid w:val="001E552F"/>
    <w:rsid w:val="001F0186"/>
    <w:rsid w:val="001F0B28"/>
    <w:rsid w:val="001F2F87"/>
    <w:rsid w:val="0020040A"/>
    <w:rsid w:val="0020095B"/>
    <w:rsid w:val="00203428"/>
    <w:rsid w:val="00203A9E"/>
    <w:rsid w:val="0020479E"/>
    <w:rsid w:val="00204B34"/>
    <w:rsid w:val="00205675"/>
    <w:rsid w:val="0020571F"/>
    <w:rsid w:val="00210564"/>
    <w:rsid w:val="00210582"/>
    <w:rsid w:val="00210835"/>
    <w:rsid w:val="0021167C"/>
    <w:rsid w:val="002117DF"/>
    <w:rsid w:val="00213052"/>
    <w:rsid w:val="00213246"/>
    <w:rsid w:val="0021330F"/>
    <w:rsid w:val="002135AF"/>
    <w:rsid w:val="0021464E"/>
    <w:rsid w:val="0021512C"/>
    <w:rsid w:val="00215202"/>
    <w:rsid w:val="00215868"/>
    <w:rsid w:val="002158AC"/>
    <w:rsid w:val="00215FCD"/>
    <w:rsid w:val="002206B3"/>
    <w:rsid w:val="00220753"/>
    <w:rsid w:val="00220C90"/>
    <w:rsid w:val="00222476"/>
    <w:rsid w:val="002229E2"/>
    <w:rsid w:val="002247E3"/>
    <w:rsid w:val="0022505B"/>
    <w:rsid w:val="0022572B"/>
    <w:rsid w:val="00225A53"/>
    <w:rsid w:val="0022678B"/>
    <w:rsid w:val="00226ACC"/>
    <w:rsid w:val="0022760E"/>
    <w:rsid w:val="002277E7"/>
    <w:rsid w:val="00230824"/>
    <w:rsid w:val="002308D5"/>
    <w:rsid w:val="00230AA6"/>
    <w:rsid w:val="00231AAD"/>
    <w:rsid w:val="002332D2"/>
    <w:rsid w:val="00234A6E"/>
    <w:rsid w:val="00235240"/>
    <w:rsid w:val="00235B07"/>
    <w:rsid w:val="00235C7A"/>
    <w:rsid w:val="002360CC"/>
    <w:rsid w:val="002372BE"/>
    <w:rsid w:val="00241F89"/>
    <w:rsid w:val="00242516"/>
    <w:rsid w:val="00242A49"/>
    <w:rsid w:val="00242D08"/>
    <w:rsid w:val="002432B7"/>
    <w:rsid w:val="002442C4"/>
    <w:rsid w:val="00244AA9"/>
    <w:rsid w:val="00244E53"/>
    <w:rsid w:val="00245C2A"/>
    <w:rsid w:val="00246331"/>
    <w:rsid w:val="00246887"/>
    <w:rsid w:val="00247608"/>
    <w:rsid w:val="002477F6"/>
    <w:rsid w:val="0025108B"/>
    <w:rsid w:val="0025448C"/>
    <w:rsid w:val="00254CD5"/>
    <w:rsid w:val="00256305"/>
    <w:rsid w:val="0025630C"/>
    <w:rsid w:val="00257688"/>
    <w:rsid w:val="00257D30"/>
    <w:rsid w:val="00260977"/>
    <w:rsid w:val="00260DD1"/>
    <w:rsid w:val="00260F0E"/>
    <w:rsid w:val="00261590"/>
    <w:rsid w:val="00262DB6"/>
    <w:rsid w:val="0026364E"/>
    <w:rsid w:val="00263E0B"/>
    <w:rsid w:val="00264042"/>
    <w:rsid w:val="00265C23"/>
    <w:rsid w:val="00266006"/>
    <w:rsid w:val="00266850"/>
    <w:rsid w:val="00266934"/>
    <w:rsid w:val="00266D3B"/>
    <w:rsid w:val="00266F67"/>
    <w:rsid w:val="002670FB"/>
    <w:rsid w:val="0026713F"/>
    <w:rsid w:val="00267319"/>
    <w:rsid w:val="002674E8"/>
    <w:rsid w:val="002702B9"/>
    <w:rsid w:val="002712AC"/>
    <w:rsid w:val="00271610"/>
    <w:rsid w:val="00271B08"/>
    <w:rsid w:val="00271E0E"/>
    <w:rsid w:val="00272359"/>
    <w:rsid w:val="002724F5"/>
    <w:rsid w:val="00272B24"/>
    <w:rsid w:val="00273F9F"/>
    <w:rsid w:val="002740A1"/>
    <w:rsid w:val="0027421B"/>
    <w:rsid w:val="002744AB"/>
    <w:rsid w:val="00274861"/>
    <w:rsid w:val="002758BD"/>
    <w:rsid w:val="00276B41"/>
    <w:rsid w:val="00276FFC"/>
    <w:rsid w:val="002820FD"/>
    <w:rsid w:val="00282FF1"/>
    <w:rsid w:val="00283885"/>
    <w:rsid w:val="00284075"/>
    <w:rsid w:val="00284943"/>
    <w:rsid w:val="00287024"/>
    <w:rsid w:val="0028735B"/>
    <w:rsid w:val="00287C43"/>
    <w:rsid w:val="002900C7"/>
    <w:rsid w:val="00291051"/>
    <w:rsid w:val="00292482"/>
    <w:rsid w:val="00292CF1"/>
    <w:rsid w:val="00292E64"/>
    <w:rsid w:val="002936B6"/>
    <w:rsid w:val="0029395B"/>
    <w:rsid w:val="002946C5"/>
    <w:rsid w:val="00294FE4"/>
    <w:rsid w:val="002A00C9"/>
    <w:rsid w:val="002A11D7"/>
    <w:rsid w:val="002A13A4"/>
    <w:rsid w:val="002A16A2"/>
    <w:rsid w:val="002A1C51"/>
    <w:rsid w:val="002A4987"/>
    <w:rsid w:val="002A72F2"/>
    <w:rsid w:val="002B01B9"/>
    <w:rsid w:val="002B0F39"/>
    <w:rsid w:val="002B15E0"/>
    <w:rsid w:val="002B1C9D"/>
    <w:rsid w:val="002B218A"/>
    <w:rsid w:val="002B22AD"/>
    <w:rsid w:val="002B43E5"/>
    <w:rsid w:val="002B4454"/>
    <w:rsid w:val="002B4A8E"/>
    <w:rsid w:val="002B6C08"/>
    <w:rsid w:val="002C196D"/>
    <w:rsid w:val="002C1B76"/>
    <w:rsid w:val="002C267F"/>
    <w:rsid w:val="002C421B"/>
    <w:rsid w:val="002C60A5"/>
    <w:rsid w:val="002C7408"/>
    <w:rsid w:val="002C7C79"/>
    <w:rsid w:val="002D0B0C"/>
    <w:rsid w:val="002D0C32"/>
    <w:rsid w:val="002D0CE3"/>
    <w:rsid w:val="002D25A7"/>
    <w:rsid w:val="002D3EB0"/>
    <w:rsid w:val="002D3FC6"/>
    <w:rsid w:val="002D4CE8"/>
    <w:rsid w:val="002D6A38"/>
    <w:rsid w:val="002D7961"/>
    <w:rsid w:val="002E00B7"/>
    <w:rsid w:val="002E1522"/>
    <w:rsid w:val="002E1D26"/>
    <w:rsid w:val="002E1FC1"/>
    <w:rsid w:val="002E2F3E"/>
    <w:rsid w:val="002E4AEB"/>
    <w:rsid w:val="002E4AF0"/>
    <w:rsid w:val="002E5173"/>
    <w:rsid w:val="002E6D84"/>
    <w:rsid w:val="002E73A1"/>
    <w:rsid w:val="002F0BB4"/>
    <w:rsid w:val="002F1674"/>
    <w:rsid w:val="002F18CB"/>
    <w:rsid w:val="002F21C9"/>
    <w:rsid w:val="002F22B8"/>
    <w:rsid w:val="002F3E06"/>
    <w:rsid w:val="0030046E"/>
    <w:rsid w:val="00303200"/>
    <w:rsid w:val="00303304"/>
    <w:rsid w:val="00303722"/>
    <w:rsid w:val="00304405"/>
    <w:rsid w:val="00304A36"/>
    <w:rsid w:val="00304BB8"/>
    <w:rsid w:val="00305EA3"/>
    <w:rsid w:val="0030601E"/>
    <w:rsid w:val="00306B7F"/>
    <w:rsid w:val="0031089D"/>
    <w:rsid w:val="003120EF"/>
    <w:rsid w:val="003125C4"/>
    <w:rsid w:val="003133E4"/>
    <w:rsid w:val="00313548"/>
    <w:rsid w:val="0031476E"/>
    <w:rsid w:val="0031498E"/>
    <w:rsid w:val="00315423"/>
    <w:rsid w:val="00316583"/>
    <w:rsid w:val="00316AE5"/>
    <w:rsid w:val="0032023E"/>
    <w:rsid w:val="003204AF"/>
    <w:rsid w:val="003204D5"/>
    <w:rsid w:val="00321102"/>
    <w:rsid w:val="00324218"/>
    <w:rsid w:val="00324F3F"/>
    <w:rsid w:val="003262F1"/>
    <w:rsid w:val="00326DC5"/>
    <w:rsid w:val="00327A77"/>
    <w:rsid w:val="0033075E"/>
    <w:rsid w:val="00330FFD"/>
    <w:rsid w:val="00331209"/>
    <w:rsid w:val="003318B4"/>
    <w:rsid w:val="003361AF"/>
    <w:rsid w:val="003405BE"/>
    <w:rsid w:val="00341363"/>
    <w:rsid w:val="0034143C"/>
    <w:rsid w:val="00342F04"/>
    <w:rsid w:val="003456F3"/>
    <w:rsid w:val="00345F5E"/>
    <w:rsid w:val="003464EB"/>
    <w:rsid w:val="003465CC"/>
    <w:rsid w:val="0034664F"/>
    <w:rsid w:val="003506DB"/>
    <w:rsid w:val="00351BE3"/>
    <w:rsid w:val="00351CB7"/>
    <w:rsid w:val="003538F7"/>
    <w:rsid w:val="00353C97"/>
    <w:rsid w:val="00354329"/>
    <w:rsid w:val="00355B74"/>
    <w:rsid w:val="003566A8"/>
    <w:rsid w:val="003572B5"/>
    <w:rsid w:val="00357319"/>
    <w:rsid w:val="00357A9F"/>
    <w:rsid w:val="00357E42"/>
    <w:rsid w:val="003600FD"/>
    <w:rsid w:val="00360928"/>
    <w:rsid w:val="00360D4A"/>
    <w:rsid w:val="00360DC0"/>
    <w:rsid w:val="0036198E"/>
    <w:rsid w:val="003621FC"/>
    <w:rsid w:val="0036381A"/>
    <w:rsid w:val="00364C42"/>
    <w:rsid w:val="00365E07"/>
    <w:rsid w:val="003676B9"/>
    <w:rsid w:val="003703A4"/>
    <w:rsid w:val="003706D9"/>
    <w:rsid w:val="00370B8B"/>
    <w:rsid w:val="003710F2"/>
    <w:rsid w:val="00371128"/>
    <w:rsid w:val="0037173E"/>
    <w:rsid w:val="003718F5"/>
    <w:rsid w:val="00371C0F"/>
    <w:rsid w:val="003726DF"/>
    <w:rsid w:val="00373084"/>
    <w:rsid w:val="00373431"/>
    <w:rsid w:val="003740A5"/>
    <w:rsid w:val="00374D1D"/>
    <w:rsid w:val="00375297"/>
    <w:rsid w:val="00375F70"/>
    <w:rsid w:val="00381800"/>
    <w:rsid w:val="00381E2C"/>
    <w:rsid w:val="003824B6"/>
    <w:rsid w:val="00383372"/>
    <w:rsid w:val="00383416"/>
    <w:rsid w:val="00383DAA"/>
    <w:rsid w:val="00384A52"/>
    <w:rsid w:val="00384BD8"/>
    <w:rsid w:val="00385016"/>
    <w:rsid w:val="003901DE"/>
    <w:rsid w:val="003903E2"/>
    <w:rsid w:val="00390B6B"/>
    <w:rsid w:val="00392F67"/>
    <w:rsid w:val="00393F42"/>
    <w:rsid w:val="00395757"/>
    <w:rsid w:val="0039617E"/>
    <w:rsid w:val="00396E24"/>
    <w:rsid w:val="00396E67"/>
    <w:rsid w:val="00397D1B"/>
    <w:rsid w:val="003A0489"/>
    <w:rsid w:val="003A17DF"/>
    <w:rsid w:val="003A2E1D"/>
    <w:rsid w:val="003A334E"/>
    <w:rsid w:val="003A3956"/>
    <w:rsid w:val="003A5005"/>
    <w:rsid w:val="003A5B57"/>
    <w:rsid w:val="003A69C0"/>
    <w:rsid w:val="003B06E9"/>
    <w:rsid w:val="003B0AC3"/>
    <w:rsid w:val="003B0C41"/>
    <w:rsid w:val="003B21F8"/>
    <w:rsid w:val="003B2820"/>
    <w:rsid w:val="003B2B12"/>
    <w:rsid w:val="003B2E0C"/>
    <w:rsid w:val="003B353A"/>
    <w:rsid w:val="003B3DC3"/>
    <w:rsid w:val="003B4CA3"/>
    <w:rsid w:val="003B69E9"/>
    <w:rsid w:val="003C041B"/>
    <w:rsid w:val="003C0E9A"/>
    <w:rsid w:val="003C21F6"/>
    <w:rsid w:val="003C36AC"/>
    <w:rsid w:val="003C3FF2"/>
    <w:rsid w:val="003C44A6"/>
    <w:rsid w:val="003C44E4"/>
    <w:rsid w:val="003C5030"/>
    <w:rsid w:val="003C60E7"/>
    <w:rsid w:val="003C6445"/>
    <w:rsid w:val="003C6986"/>
    <w:rsid w:val="003C6BCD"/>
    <w:rsid w:val="003C6CDC"/>
    <w:rsid w:val="003C7F9B"/>
    <w:rsid w:val="003D0A51"/>
    <w:rsid w:val="003D0EFB"/>
    <w:rsid w:val="003D2AAE"/>
    <w:rsid w:val="003D2D30"/>
    <w:rsid w:val="003D4E30"/>
    <w:rsid w:val="003D657D"/>
    <w:rsid w:val="003D673B"/>
    <w:rsid w:val="003D68FF"/>
    <w:rsid w:val="003D73F6"/>
    <w:rsid w:val="003D7D41"/>
    <w:rsid w:val="003E07C1"/>
    <w:rsid w:val="003E0AA0"/>
    <w:rsid w:val="003E3019"/>
    <w:rsid w:val="003E3637"/>
    <w:rsid w:val="003E39A5"/>
    <w:rsid w:val="003E3ED1"/>
    <w:rsid w:val="003E49AF"/>
    <w:rsid w:val="003E4F9D"/>
    <w:rsid w:val="003E5394"/>
    <w:rsid w:val="003E53E5"/>
    <w:rsid w:val="003E7575"/>
    <w:rsid w:val="003F0128"/>
    <w:rsid w:val="003F033B"/>
    <w:rsid w:val="003F037A"/>
    <w:rsid w:val="003F15BA"/>
    <w:rsid w:val="003F3107"/>
    <w:rsid w:val="003F449A"/>
    <w:rsid w:val="003F599C"/>
    <w:rsid w:val="003F5BEC"/>
    <w:rsid w:val="003F5F6A"/>
    <w:rsid w:val="003F6B22"/>
    <w:rsid w:val="003F78B4"/>
    <w:rsid w:val="003F79E7"/>
    <w:rsid w:val="003F7B7A"/>
    <w:rsid w:val="003F7FB2"/>
    <w:rsid w:val="00402D63"/>
    <w:rsid w:val="00403C09"/>
    <w:rsid w:val="00403DE7"/>
    <w:rsid w:val="00406215"/>
    <w:rsid w:val="00407446"/>
    <w:rsid w:val="0041066F"/>
    <w:rsid w:val="00410CA8"/>
    <w:rsid w:val="00411D57"/>
    <w:rsid w:val="0041247D"/>
    <w:rsid w:val="004133F1"/>
    <w:rsid w:val="00415EDC"/>
    <w:rsid w:val="00416CE8"/>
    <w:rsid w:val="00416EBE"/>
    <w:rsid w:val="0041773F"/>
    <w:rsid w:val="00417C81"/>
    <w:rsid w:val="00417E88"/>
    <w:rsid w:val="004215EB"/>
    <w:rsid w:val="00421720"/>
    <w:rsid w:val="00421D65"/>
    <w:rsid w:val="004224FD"/>
    <w:rsid w:val="00422DF9"/>
    <w:rsid w:val="0042303A"/>
    <w:rsid w:val="004239EE"/>
    <w:rsid w:val="00423FB9"/>
    <w:rsid w:val="00424424"/>
    <w:rsid w:val="00424609"/>
    <w:rsid w:val="00425067"/>
    <w:rsid w:val="0042678C"/>
    <w:rsid w:val="0042697D"/>
    <w:rsid w:val="00426981"/>
    <w:rsid w:val="004301D8"/>
    <w:rsid w:val="00432161"/>
    <w:rsid w:val="004323FA"/>
    <w:rsid w:val="004329EC"/>
    <w:rsid w:val="0043436B"/>
    <w:rsid w:val="00435200"/>
    <w:rsid w:val="00435A54"/>
    <w:rsid w:val="004366CB"/>
    <w:rsid w:val="00440099"/>
    <w:rsid w:val="0044126E"/>
    <w:rsid w:val="0044249F"/>
    <w:rsid w:val="0044434E"/>
    <w:rsid w:val="00444AAE"/>
    <w:rsid w:val="00445140"/>
    <w:rsid w:val="00445C32"/>
    <w:rsid w:val="004462D3"/>
    <w:rsid w:val="00446436"/>
    <w:rsid w:val="0044652B"/>
    <w:rsid w:val="00446E46"/>
    <w:rsid w:val="00447018"/>
    <w:rsid w:val="00450300"/>
    <w:rsid w:val="00451B5F"/>
    <w:rsid w:val="00451F75"/>
    <w:rsid w:val="004528E2"/>
    <w:rsid w:val="00454674"/>
    <w:rsid w:val="00454B6C"/>
    <w:rsid w:val="004560BC"/>
    <w:rsid w:val="004560FC"/>
    <w:rsid w:val="004566AE"/>
    <w:rsid w:val="004602DA"/>
    <w:rsid w:val="00460661"/>
    <w:rsid w:val="00460EF2"/>
    <w:rsid w:val="00461106"/>
    <w:rsid w:val="00461963"/>
    <w:rsid w:val="00462FBB"/>
    <w:rsid w:val="00463494"/>
    <w:rsid w:val="004635BA"/>
    <w:rsid w:val="00463FFA"/>
    <w:rsid w:val="00464346"/>
    <w:rsid w:val="00464E62"/>
    <w:rsid w:val="00465DAD"/>
    <w:rsid w:val="004660F7"/>
    <w:rsid w:val="004668F3"/>
    <w:rsid w:val="00466D4E"/>
    <w:rsid w:val="0046746C"/>
    <w:rsid w:val="00467F0F"/>
    <w:rsid w:val="00470AB9"/>
    <w:rsid w:val="00471BD8"/>
    <w:rsid w:val="00471E65"/>
    <w:rsid w:val="00472B8E"/>
    <w:rsid w:val="00473BBF"/>
    <w:rsid w:val="00474C4D"/>
    <w:rsid w:val="00475049"/>
    <w:rsid w:val="00475266"/>
    <w:rsid w:val="004752C5"/>
    <w:rsid w:val="00475BE7"/>
    <w:rsid w:val="0047612C"/>
    <w:rsid w:val="00476E14"/>
    <w:rsid w:val="00477992"/>
    <w:rsid w:val="004806CA"/>
    <w:rsid w:val="00480787"/>
    <w:rsid w:val="00481718"/>
    <w:rsid w:val="0048272C"/>
    <w:rsid w:val="00483FA9"/>
    <w:rsid w:val="00484B91"/>
    <w:rsid w:val="0048513D"/>
    <w:rsid w:val="0048597C"/>
    <w:rsid w:val="00486EBF"/>
    <w:rsid w:val="00487555"/>
    <w:rsid w:val="00487BDD"/>
    <w:rsid w:val="00490410"/>
    <w:rsid w:val="0049068D"/>
    <w:rsid w:val="00490756"/>
    <w:rsid w:val="00490779"/>
    <w:rsid w:val="00491831"/>
    <w:rsid w:val="00492DC1"/>
    <w:rsid w:val="00494A2B"/>
    <w:rsid w:val="00494D05"/>
    <w:rsid w:val="0049670C"/>
    <w:rsid w:val="004977B8"/>
    <w:rsid w:val="004A0DE5"/>
    <w:rsid w:val="004A0FBA"/>
    <w:rsid w:val="004A0FDB"/>
    <w:rsid w:val="004A1079"/>
    <w:rsid w:val="004A20B7"/>
    <w:rsid w:val="004A3C46"/>
    <w:rsid w:val="004A3F22"/>
    <w:rsid w:val="004A4475"/>
    <w:rsid w:val="004A50A9"/>
    <w:rsid w:val="004A6074"/>
    <w:rsid w:val="004A6149"/>
    <w:rsid w:val="004A6E6F"/>
    <w:rsid w:val="004A7062"/>
    <w:rsid w:val="004B0D08"/>
    <w:rsid w:val="004B1D41"/>
    <w:rsid w:val="004B1E8B"/>
    <w:rsid w:val="004B22EA"/>
    <w:rsid w:val="004B2D09"/>
    <w:rsid w:val="004B490B"/>
    <w:rsid w:val="004B4AC5"/>
    <w:rsid w:val="004B5842"/>
    <w:rsid w:val="004B5926"/>
    <w:rsid w:val="004B59BA"/>
    <w:rsid w:val="004B5BAF"/>
    <w:rsid w:val="004B6BA1"/>
    <w:rsid w:val="004B76F5"/>
    <w:rsid w:val="004C0E92"/>
    <w:rsid w:val="004C1625"/>
    <w:rsid w:val="004C29E1"/>
    <w:rsid w:val="004C3ACB"/>
    <w:rsid w:val="004C40F0"/>
    <w:rsid w:val="004C46E2"/>
    <w:rsid w:val="004C506E"/>
    <w:rsid w:val="004C5516"/>
    <w:rsid w:val="004C562B"/>
    <w:rsid w:val="004C5D6E"/>
    <w:rsid w:val="004D09A6"/>
    <w:rsid w:val="004D1156"/>
    <w:rsid w:val="004D1198"/>
    <w:rsid w:val="004D1735"/>
    <w:rsid w:val="004D1923"/>
    <w:rsid w:val="004D1E1E"/>
    <w:rsid w:val="004D24C0"/>
    <w:rsid w:val="004D39A3"/>
    <w:rsid w:val="004D3CEA"/>
    <w:rsid w:val="004D44EA"/>
    <w:rsid w:val="004D5197"/>
    <w:rsid w:val="004D54E9"/>
    <w:rsid w:val="004D556E"/>
    <w:rsid w:val="004D5AED"/>
    <w:rsid w:val="004D690E"/>
    <w:rsid w:val="004D6984"/>
    <w:rsid w:val="004D78DD"/>
    <w:rsid w:val="004E0CF2"/>
    <w:rsid w:val="004E4300"/>
    <w:rsid w:val="004E4465"/>
    <w:rsid w:val="004E4C80"/>
    <w:rsid w:val="004E548E"/>
    <w:rsid w:val="004E58FE"/>
    <w:rsid w:val="004E5F5D"/>
    <w:rsid w:val="004E6261"/>
    <w:rsid w:val="004E627B"/>
    <w:rsid w:val="004E6DC5"/>
    <w:rsid w:val="004E7F31"/>
    <w:rsid w:val="004F2E33"/>
    <w:rsid w:val="004F3986"/>
    <w:rsid w:val="004F4C03"/>
    <w:rsid w:val="004F5065"/>
    <w:rsid w:val="004F6EBC"/>
    <w:rsid w:val="004F7BFC"/>
    <w:rsid w:val="004F7CD3"/>
    <w:rsid w:val="0050181C"/>
    <w:rsid w:val="005019D6"/>
    <w:rsid w:val="00502A79"/>
    <w:rsid w:val="005039CC"/>
    <w:rsid w:val="00503FA3"/>
    <w:rsid w:val="00504BB4"/>
    <w:rsid w:val="00507E6F"/>
    <w:rsid w:val="0051005E"/>
    <w:rsid w:val="0051054E"/>
    <w:rsid w:val="00510A94"/>
    <w:rsid w:val="00510BAE"/>
    <w:rsid w:val="00511D60"/>
    <w:rsid w:val="00512045"/>
    <w:rsid w:val="0051220D"/>
    <w:rsid w:val="00513432"/>
    <w:rsid w:val="0051363D"/>
    <w:rsid w:val="00513B31"/>
    <w:rsid w:val="005148D0"/>
    <w:rsid w:val="00514CF2"/>
    <w:rsid w:val="00515B90"/>
    <w:rsid w:val="005174B3"/>
    <w:rsid w:val="00520019"/>
    <w:rsid w:val="00520439"/>
    <w:rsid w:val="00520F38"/>
    <w:rsid w:val="005212D9"/>
    <w:rsid w:val="00521622"/>
    <w:rsid w:val="00521D34"/>
    <w:rsid w:val="00523B25"/>
    <w:rsid w:val="00523F15"/>
    <w:rsid w:val="00524CAF"/>
    <w:rsid w:val="00525045"/>
    <w:rsid w:val="005263E1"/>
    <w:rsid w:val="005269E1"/>
    <w:rsid w:val="00530AAE"/>
    <w:rsid w:val="00530F89"/>
    <w:rsid w:val="0053175A"/>
    <w:rsid w:val="005322FC"/>
    <w:rsid w:val="005328F4"/>
    <w:rsid w:val="00533C51"/>
    <w:rsid w:val="00535189"/>
    <w:rsid w:val="00535808"/>
    <w:rsid w:val="00535A79"/>
    <w:rsid w:val="00536342"/>
    <w:rsid w:val="00536492"/>
    <w:rsid w:val="00536714"/>
    <w:rsid w:val="00540E16"/>
    <w:rsid w:val="00541B32"/>
    <w:rsid w:val="00542E43"/>
    <w:rsid w:val="005430A4"/>
    <w:rsid w:val="00543A01"/>
    <w:rsid w:val="00543AC0"/>
    <w:rsid w:val="00543C92"/>
    <w:rsid w:val="00546F9D"/>
    <w:rsid w:val="005478ED"/>
    <w:rsid w:val="00550967"/>
    <w:rsid w:val="00551898"/>
    <w:rsid w:val="0055202C"/>
    <w:rsid w:val="00552FA7"/>
    <w:rsid w:val="00553A44"/>
    <w:rsid w:val="00553FE1"/>
    <w:rsid w:val="005548D9"/>
    <w:rsid w:val="00554A88"/>
    <w:rsid w:val="0056119C"/>
    <w:rsid w:val="005625A1"/>
    <w:rsid w:val="0056260E"/>
    <w:rsid w:val="00562FE3"/>
    <w:rsid w:val="005649AD"/>
    <w:rsid w:val="005649CD"/>
    <w:rsid w:val="00565AF0"/>
    <w:rsid w:val="00566284"/>
    <w:rsid w:val="00566D6B"/>
    <w:rsid w:val="00566DEF"/>
    <w:rsid w:val="00566DF3"/>
    <w:rsid w:val="00567573"/>
    <w:rsid w:val="005708D9"/>
    <w:rsid w:val="00570B4C"/>
    <w:rsid w:val="0057178B"/>
    <w:rsid w:val="00572684"/>
    <w:rsid w:val="00572972"/>
    <w:rsid w:val="00575047"/>
    <w:rsid w:val="005756C0"/>
    <w:rsid w:val="00575CC8"/>
    <w:rsid w:val="0057661E"/>
    <w:rsid w:val="0058080D"/>
    <w:rsid w:val="00581938"/>
    <w:rsid w:val="00581A73"/>
    <w:rsid w:val="00582D31"/>
    <w:rsid w:val="00582E51"/>
    <w:rsid w:val="00584290"/>
    <w:rsid w:val="005852F9"/>
    <w:rsid w:val="00585383"/>
    <w:rsid w:val="0058642A"/>
    <w:rsid w:val="00586E0B"/>
    <w:rsid w:val="005902C5"/>
    <w:rsid w:val="0059186F"/>
    <w:rsid w:val="0059188B"/>
    <w:rsid w:val="0059465B"/>
    <w:rsid w:val="00594770"/>
    <w:rsid w:val="005961C3"/>
    <w:rsid w:val="00596513"/>
    <w:rsid w:val="00596A71"/>
    <w:rsid w:val="0059746F"/>
    <w:rsid w:val="005A0E44"/>
    <w:rsid w:val="005A103E"/>
    <w:rsid w:val="005A1A53"/>
    <w:rsid w:val="005A1D1F"/>
    <w:rsid w:val="005A2CCE"/>
    <w:rsid w:val="005A332A"/>
    <w:rsid w:val="005A4161"/>
    <w:rsid w:val="005A4F9E"/>
    <w:rsid w:val="005A50D9"/>
    <w:rsid w:val="005A63F4"/>
    <w:rsid w:val="005A7018"/>
    <w:rsid w:val="005A7907"/>
    <w:rsid w:val="005A7BD2"/>
    <w:rsid w:val="005A7DAA"/>
    <w:rsid w:val="005B00E9"/>
    <w:rsid w:val="005B2A29"/>
    <w:rsid w:val="005B445B"/>
    <w:rsid w:val="005B4578"/>
    <w:rsid w:val="005B5468"/>
    <w:rsid w:val="005B6567"/>
    <w:rsid w:val="005B666A"/>
    <w:rsid w:val="005B68C6"/>
    <w:rsid w:val="005B696A"/>
    <w:rsid w:val="005B72BC"/>
    <w:rsid w:val="005B75E0"/>
    <w:rsid w:val="005B76B8"/>
    <w:rsid w:val="005B79A1"/>
    <w:rsid w:val="005C0665"/>
    <w:rsid w:val="005C07F2"/>
    <w:rsid w:val="005C0DB5"/>
    <w:rsid w:val="005C1A8C"/>
    <w:rsid w:val="005C1D01"/>
    <w:rsid w:val="005C1D61"/>
    <w:rsid w:val="005C3491"/>
    <w:rsid w:val="005C3E58"/>
    <w:rsid w:val="005C4C79"/>
    <w:rsid w:val="005C65C0"/>
    <w:rsid w:val="005C6782"/>
    <w:rsid w:val="005C678C"/>
    <w:rsid w:val="005D263C"/>
    <w:rsid w:val="005D44C9"/>
    <w:rsid w:val="005D5AE7"/>
    <w:rsid w:val="005D5DD6"/>
    <w:rsid w:val="005E0B2E"/>
    <w:rsid w:val="005E1DE9"/>
    <w:rsid w:val="005E211C"/>
    <w:rsid w:val="005E3461"/>
    <w:rsid w:val="005E3751"/>
    <w:rsid w:val="005E37C9"/>
    <w:rsid w:val="005E3A7A"/>
    <w:rsid w:val="005E3C9E"/>
    <w:rsid w:val="005E3FF0"/>
    <w:rsid w:val="005E577D"/>
    <w:rsid w:val="005E5928"/>
    <w:rsid w:val="005E6A42"/>
    <w:rsid w:val="005E7426"/>
    <w:rsid w:val="005F1322"/>
    <w:rsid w:val="005F1E25"/>
    <w:rsid w:val="005F1E8D"/>
    <w:rsid w:val="005F2009"/>
    <w:rsid w:val="005F4854"/>
    <w:rsid w:val="005F489E"/>
    <w:rsid w:val="005F4A89"/>
    <w:rsid w:val="005F57B3"/>
    <w:rsid w:val="005F5F99"/>
    <w:rsid w:val="005F6606"/>
    <w:rsid w:val="005F6D30"/>
    <w:rsid w:val="006004C2"/>
    <w:rsid w:val="00601049"/>
    <w:rsid w:val="00602E03"/>
    <w:rsid w:val="00603EE0"/>
    <w:rsid w:val="00604D40"/>
    <w:rsid w:val="0060688C"/>
    <w:rsid w:val="006074C6"/>
    <w:rsid w:val="006076F0"/>
    <w:rsid w:val="006112F8"/>
    <w:rsid w:val="006131D0"/>
    <w:rsid w:val="00614167"/>
    <w:rsid w:val="006149BF"/>
    <w:rsid w:val="0061567E"/>
    <w:rsid w:val="006172EA"/>
    <w:rsid w:val="00620D9E"/>
    <w:rsid w:val="00622479"/>
    <w:rsid w:val="00622A76"/>
    <w:rsid w:val="006238B1"/>
    <w:rsid w:val="0062445A"/>
    <w:rsid w:val="00624F9E"/>
    <w:rsid w:val="006258C3"/>
    <w:rsid w:val="0062674B"/>
    <w:rsid w:val="00627941"/>
    <w:rsid w:val="00631196"/>
    <w:rsid w:val="0063312D"/>
    <w:rsid w:val="006348F0"/>
    <w:rsid w:val="00634B51"/>
    <w:rsid w:val="006403A4"/>
    <w:rsid w:val="00640B6F"/>
    <w:rsid w:val="00640FA6"/>
    <w:rsid w:val="006412D9"/>
    <w:rsid w:val="00641469"/>
    <w:rsid w:val="006414E0"/>
    <w:rsid w:val="006422E1"/>
    <w:rsid w:val="006423AF"/>
    <w:rsid w:val="00642959"/>
    <w:rsid w:val="0064371A"/>
    <w:rsid w:val="0064387A"/>
    <w:rsid w:val="00645BDA"/>
    <w:rsid w:val="00645E5E"/>
    <w:rsid w:val="00646F7D"/>
    <w:rsid w:val="00647500"/>
    <w:rsid w:val="00647591"/>
    <w:rsid w:val="00647D0D"/>
    <w:rsid w:val="0065265A"/>
    <w:rsid w:val="00652949"/>
    <w:rsid w:val="00653287"/>
    <w:rsid w:val="00653CC7"/>
    <w:rsid w:val="00654531"/>
    <w:rsid w:val="00654EE0"/>
    <w:rsid w:val="006555CC"/>
    <w:rsid w:val="006558A8"/>
    <w:rsid w:val="006558F6"/>
    <w:rsid w:val="00655CE6"/>
    <w:rsid w:val="00656ACF"/>
    <w:rsid w:val="00657038"/>
    <w:rsid w:val="00657194"/>
    <w:rsid w:val="00657A59"/>
    <w:rsid w:val="00657A74"/>
    <w:rsid w:val="006612BD"/>
    <w:rsid w:val="00662939"/>
    <w:rsid w:val="00662FC6"/>
    <w:rsid w:val="0066300C"/>
    <w:rsid w:val="00665E25"/>
    <w:rsid w:val="00665E65"/>
    <w:rsid w:val="006667D6"/>
    <w:rsid w:val="00671768"/>
    <w:rsid w:val="006717F4"/>
    <w:rsid w:val="0067185A"/>
    <w:rsid w:val="00671AEE"/>
    <w:rsid w:val="00672568"/>
    <w:rsid w:val="00672B5A"/>
    <w:rsid w:val="00674234"/>
    <w:rsid w:val="00674647"/>
    <w:rsid w:val="006769BA"/>
    <w:rsid w:val="006778BA"/>
    <w:rsid w:val="00680089"/>
    <w:rsid w:val="00680483"/>
    <w:rsid w:val="006814AA"/>
    <w:rsid w:val="00681CA6"/>
    <w:rsid w:val="00682F5D"/>
    <w:rsid w:val="00683A46"/>
    <w:rsid w:val="00683D21"/>
    <w:rsid w:val="00684355"/>
    <w:rsid w:val="006850C9"/>
    <w:rsid w:val="0068516C"/>
    <w:rsid w:val="006869C8"/>
    <w:rsid w:val="00686AD2"/>
    <w:rsid w:val="006907D5"/>
    <w:rsid w:val="00691452"/>
    <w:rsid w:val="006918F8"/>
    <w:rsid w:val="00691E42"/>
    <w:rsid w:val="00692F52"/>
    <w:rsid w:val="00692F7E"/>
    <w:rsid w:val="006931B8"/>
    <w:rsid w:val="00694C8E"/>
    <w:rsid w:val="00697C35"/>
    <w:rsid w:val="006A000C"/>
    <w:rsid w:val="006A00AE"/>
    <w:rsid w:val="006A0939"/>
    <w:rsid w:val="006A09A1"/>
    <w:rsid w:val="006A10AA"/>
    <w:rsid w:val="006A125E"/>
    <w:rsid w:val="006A13F6"/>
    <w:rsid w:val="006A1E69"/>
    <w:rsid w:val="006A1FF6"/>
    <w:rsid w:val="006A2140"/>
    <w:rsid w:val="006A45E0"/>
    <w:rsid w:val="006A533E"/>
    <w:rsid w:val="006A53EC"/>
    <w:rsid w:val="006A5556"/>
    <w:rsid w:val="006A6045"/>
    <w:rsid w:val="006A637B"/>
    <w:rsid w:val="006A6D99"/>
    <w:rsid w:val="006A766C"/>
    <w:rsid w:val="006A7D78"/>
    <w:rsid w:val="006B0599"/>
    <w:rsid w:val="006B0E53"/>
    <w:rsid w:val="006B13F5"/>
    <w:rsid w:val="006B17CD"/>
    <w:rsid w:val="006B6876"/>
    <w:rsid w:val="006B71CD"/>
    <w:rsid w:val="006B7CBD"/>
    <w:rsid w:val="006B7D1F"/>
    <w:rsid w:val="006C2D38"/>
    <w:rsid w:val="006C2ED6"/>
    <w:rsid w:val="006C3742"/>
    <w:rsid w:val="006C3A39"/>
    <w:rsid w:val="006C44C7"/>
    <w:rsid w:val="006C6C26"/>
    <w:rsid w:val="006C79F6"/>
    <w:rsid w:val="006D0ED8"/>
    <w:rsid w:val="006D1417"/>
    <w:rsid w:val="006D4F1B"/>
    <w:rsid w:val="006D58C6"/>
    <w:rsid w:val="006D5FB5"/>
    <w:rsid w:val="006D7F87"/>
    <w:rsid w:val="006D7F8C"/>
    <w:rsid w:val="006E15B7"/>
    <w:rsid w:val="006E1AA7"/>
    <w:rsid w:val="006E1B53"/>
    <w:rsid w:val="006E4AFD"/>
    <w:rsid w:val="006E5BF2"/>
    <w:rsid w:val="006E6390"/>
    <w:rsid w:val="006E6867"/>
    <w:rsid w:val="006E7C44"/>
    <w:rsid w:val="006F076E"/>
    <w:rsid w:val="006F0E38"/>
    <w:rsid w:val="006F0E4B"/>
    <w:rsid w:val="006F23A9"/>
    <w:rsid w:val="006F3498"/>
    <w:rsid w:val="006F579E"/>
    <w:rsid w:val="006F70F5"/>
    <w:rsid w:val="006F72CF"/>
    <w:rsid w:val="006F7468"/>
    <w:rsid w:val="006F768E"/>
    <w:rsid w:val="006F7771"/>
    <w:rsid w:val="00701197"/>
    <w:rsid w:val="00702777"/>
    <w:rsid w:val="00702D9B"/>
    <w:rsid w:val="00703180"/>
    <w:rsid w:val="00703746"/>
    <w:rsid w:val="00707DE4"/>
    <w:rsid w:val="00710C13"/>
    <w:rsid w:val="00712DA8"/>
    <w:rsid w:val="007134F4"/>
    <w:rsid w:val="007139ED"/>
    <w:rsid w:val="00713A9F"/>
    <w:rsid w:val="00713E81"/>
    <w:rsid w:val="00715049"/>
    <w:rsid w:val="007155D9"/>
    <w:rsid w:val="00715708"/>
    <w:rsid w:val="00715792"/>
    <w:rsid w:val="00716000"/>
    <w:rsid w:val="0072071C"/>
    <w:rsid w:val="00721498"/>
    <w:rsid w:val="00722032"/>
    <w:rsid w:val="00722402"/>
    <w:rsid w:val="00723462"/>
    <w:rsid w:val="00723AAE"/>
    <w:rsid w:val="0072449B"/>
    <w:rsid w:val="00724F16"/>
    <w:rsid w:val="00726BAD"/>
    <w:rsid w:val="007273C4"/>
    <w:rsid w:val="0073089C"/>
    <w:rsid w:val="007318EA"/>
    <w:rsid w:val="00732305"/>
    <w:rsid w:val="00733286"/>
    <w:rsid w:val="00733D3C"/>
    <w:rsid w:val="007342DC"/>
    <w:rsid w:val="00734D29"/>
    <w:rsid w:val="00735E23"/>
    <w:rsid w:val="00735F6E"/>
    <w:rsid w:val="00736089"/>
    <w:rsid w:val="00737BEA"/>
    <w:rsid w:val="00737C74"/>
    <w:rsid w:val="00737E49"/>
    <w:rsid w:val="00740736"/>
    <w:rsid w:val="0074126E"/>
    <w:rsid w:val="00741A81"/>
    <w:rsid w:val="00741EE1"/>
    <w:rsid w:val="007425B1"/>
    <w:rsid w:val="00742651"/>
    <w:rsid w:val="00743159"/>
    <w:rsid w:val="007438B2"/>
    <w:rsid w:val="00743EEE"/>
    <w:rsid w:val="00744A4A"/>
    <w:rsid w:val="00744D43"/>
    <w:rsid w:val="00745534"/>
    <w:rsid w:val="00746B60"/>
    <w:rsid w:val="00747666"/>
    <w:rsid w:val="00750163"/>
    <w:rsid w:val="00751AD8"/>
    <w:rsid w:val="00751FDD"/>
    <w:rsid w:val="00753A1D"/>
    <w:rsid w:val="00754EFA"/>
    <w:rsid w:val="00757A81"/>
    <w:rsid w:val="00761A64"/>
    <w:rsid w:val="00762284"/>
    <w:rsid w:val="0076252B"/>
    <w:rsid w:val="007630E7"/>
    <w:rsid w:val="0076384C"/>
    <w:rsid w:val="007646B3"/>
    <w:rsid w:val="00765AEC"/>
    <w:rsid w:val="007666C0"/>
    <w:rsid w:val="00766AFD"/>
    <w:rsid w:val="0076730D"/>
    <w:rsid w:val="00767394"/>
    <w:rsid w:val="00767F5C"/>
    <w:rsid w:val="00771766"/>
    <w:rsid w:val="00773D8E"/>
    <w:rsid w:val="00773F7A"/>
    <w:rsid w:val="007741CD"/>
    <w:rsid w:val="00776E09"/>
    <w:rsid w:val="0078039F"/>
    <w:rsid w:val="007807AF"/>
    <w:rsid w:val="00780B8F"/>
    <w:rsid w:val="007818A4"/>
    <w:rsid w:val="0078272F"/>
    <w:rsid w:val="007828EF"/>
    <w:rsid w:val="0078316F"/>
    <w:rsid w:val="00783CEE"/>
    <w:rsid w:val="00784E21"/>
    <w:rsid w:val="007851D4"/>
    <w:rsid w:val="00785804"/>
    <w:rsid w:val="00786962"/>
    <w:rsid w:val="0078708F"/>
    <w:rsid w:val="00787B36"/>
    <w:rsid w:val="00790BAA"/>
    <w:rsid w:val="0079244F"/>
    <w:rsid w:val="007924DB"/>
    <w:rsid w:val="00792962"/>
    <w:rsid w:val="00793BFF"/>
    <w:rsid w:val="007942B2"/>
    <w:rsid w:val="007944D1"/>
    <w:rsid w:val="007964E1"/>
    <w:rsid w:val="00796B73"/>
    <w:rsid w:val="00796F4B"/>
    <w:rsid w:val="00797769"/>
    <w:rsid w:val="007977FA"/>
    <w:rsid w:val="00797B7D"/>
    <w:rsid w:val="007A01EC"/>
    <w:rsid w:val="007A0815"/>
    <w:rsid w:val="007A1240"/>
    <w:rsid w:val="007A2137"/>
    <w:rsid w:val="007A3145"/>
    <w:rsid w:val="007A427A"/>
    <w:rsid w:val="007A4618"/>
    <w:rsid w:val="007A5D9A"/>
    <w:rsid w:val="007A6535"/>
    <w:rsid w:val="007A6C43"/>
    <w:rsid w:val="007B06B0"/>
    <w:rsid w:val="007B0995"/>
    <w:rsid w:val="007B1AA0"/>
    <w:rsid w:val="007B3551"/>
    <w:rsid w:val="007B35CF"/>
    <w:rsid w:val="007B4B24"/>
    <w:rsid w:val="007B6B04"/>
    <w:rsid w:val="007B7D64"/>
    <w:rsid w:val="007B7F1C"/>
    <w:rsid w:val="007C02DE"/>
    <w:rsid w:val="007C11EE"/>
    <w:rsid w:val="007C26B8"/>
    <w:rsid w:val="007C49AB"/>
    <w:rsid w:val="007C4DD8"/>
    <w:rsid w:val="007C5C9A"/>
    <w:rsid w:val="007C6CFB"/>
    <w:rsid w:val="007C6E1F"/>
    <w:rsid w:val="007C78CA"/>
    <w:rsid w:val="007C7B64"/>
    <w:rsid w:val="007C7F07"/>
    <w:rsid w:val="007D1A40"/>
    <w:rsid w:val="007D306C"/>
    <w:rsid w:val="007D33E3"/>
    <w:rsid w:val="007D3C13"/>
    <w:rsid w:val="007D52AC"/>
    <w:rsid w:val="007D531A"/>
    <w:rsid w:val="007D579F"/>
    <w:rsid w:val="007D5F7E"/>
    <w:rsid w:val="007D6D64"/>
    <w:rsid w:val="007E0101"/>
    <w:rsid w:val="007E0B46"/>
    <w:rsid w:val="007E1A15"/>
    <w:rsid w:val="007E327D"/>
    <w:rsid w:val="007E32CC"/>
    <w:rsid w:val="007E3F57"/>
    <w:rsid w:val="007E5A83"/>
    <w:rsid w:val="007E5B0A"/>
    <w:rsid w:val="007E627D"/>
    <w:rsid w:val="007E78B1"/>
    <w:rsid w:val="007E7EED"/>
    <w:rsid w:val="007E7F83"/>
    <w:rsid w:val="007F1892"/>
    <w:rsid w:val="007F1F59"/>
    <w:rsid w:val="007F271C"/>
    <w:rsid w:val="007F322E"/>
    <w:rsid w:val="007F36DF"/>
    <w:rsid w:val="007F3B87"/>
    <w:rsid w:val="007F400B"/>
    <w:rsid w:val="007F428D"/>
    <w:rsid w:val="007F50E2"/>
    <w:rsid w:val="007F5131"/>
    <w:rsid w:val="007F6652"/>
    <w:rsid w:val="00800C08"/>
    <w:rsid w:val="00800C92"/>
    <w:rsid w:val="00801849"/>
    <w:rsid w:val="00801D23"/>
    <w:rsid w:val="00802112"/>
    <w:rsid w:val="008021CA"/>
    <w:rsid w:val="00803278"/>
    <w:rsid w:val="00803858"/>
    <w:rsid w:val="00803E50"/>
    <w:rsid w:val="00804582"/>
    <w:rsid w:val="00805568"/>
    <w:rsid w:val="00805940"/>
    <w:rsid w:val="00806089"/>
    <w:rsid w:val="00806822"/>
    <w:rsid w:val="008075BA"/>
    <w:rsid w:val="0081317D"/>
    <w:rsid w:val="0081362A"/>
    <w:rsid w:val="00815835"/>
    <w:rsid w:val="008173EC"/>
    <w:rsid w:val="008177E8"/>
    <w:rsid w:val="0082145E"/>
    <w:rsid w:val="008226D7"/>
    <w:rsid w:val="00822FB4"/>
    <w:rsid w:val="00823185"/>
    <w:rsid w:val="0082386F"/>
    <w:rsid w:val="00823C64"/>
    <w:rsid w:val="00823D24"/>
    <w:rsid w:val="008247EF"/>
    <w:rsid w:val="00824A0C"/>
    <w:rsid w:val="0082655B"/>
    <w:rsid w:val="00826DF4"/>
    <w:rsid w:val="00831A64"/>
    <w:rsid w:val="00831BB4"/>
    <w:rsid w:val="00831CA8"/>
    <w:rsid w:val="00832DA9"/>
    <w:rsid w:val="0083345E"/>
    <w:rsid w:val="00834A42"/>
    <w:rsid w:val="008350CC"/>
    <w:rsid w:val="00836039"/>
    <w:rsid w:val="008366C2"/>
    <w:rsid w:val="008426C8"/>
    <w:rsid w:val="0084404D"/>
    <w:rsid w:val="00844B11"/>
    <w:rsid w:val="00845C6F"/>
    <w:rsid w:val="00846665"/>
    <w:rsid w:val="00846DD6"/>
    <w:rsid w:val="00847C0C"/>
    <w:rsid w:val="008515E6"/>
    <w:rsid w:val="0085232D"/>
    <w:rsid w:val="0085326C"/>
    <w:rsid w:val="00853444"/>
    <w:rsid w:val="00853C70"/>
    <w:rsid w:val="008554EA"/>
    <w:rsid w:val="00855994"/>
    <w:rsid w:val="00856124"/>
    <w:rsid w:val="00857208"/>
    <w:rsid w:val="008604C0"/>
    <w:rsid w:val="0086291D"/>
    <w:rsid w:val="00862CC4"/>
    <w:rsid w:val="00863334"/>
    <w:rsid w:val="00864DDF"/>
    <w:rsid w:val="00865083"/>
    <w:rsid w:val="00866E4C"/>
    <w:rsid w:val="008678C1"/>
    <w:rsid w:val="008701A1"/>
    <w:rsid w:val="008702DD"/>
    <w:rsid w:val="0087079D"/>
    <w:rsid w:val="00870C22"/>
    <w:rsid w:val="00871452"/>
    <w:rsid w:val="00871474"/>
    <w:rsid w:val="00871BEC"/>
    <w:rsid w:val="00872078"/>
    <w:rsid w:val="00872591"/>
    <w:rsid w:val="008732F3"/>
    <w:rsid w:val="008735A7"/>
    <w:rsid w:val="00873634"/>
    <w:rsid w:val="00874FCE"/>
    <w:rsid w:val="008750C2"/>
    <w:rsid w:val="00875261"/>
    <w:rsid w:val="0087596F"/>
    <w:rsid w:val="00875E12"/>
    <w:rsid w:val="00876E9D"/>
    <w:rsid w:val="008770DA"/>
    <w:rsid w:val="00881CFD"/>
    <w:rsid w:val="00881D3D"/>
    <w:rsid w:val="00882FE8"/>
    <w:rsid w:val="00883607"/>
    <w:rsid w:val="00883970"/>
    <w:rsid w:val="00883F90"/>
    <w:rsid w:val="00884E72"/>
    <w:rsid w:val="0088612C"/>
    <w:rsid w:val="00886343"/>
    <w:rsid w:val="00886A35"/>
    <w:rsid w:val="00886DAA"/>
    <w:rsid w:val="00886E87"/>
    <w:rsid w:val="008873CE"/>
    <w:rsid w:val="00887E4E"/>
    <w:rsid w:val="00890650"/>
    <w:rsid w:val="00891D9E"/>
    <w:rsid w:val="00891DBA"/>
    <w:rsid w:val="00892770"/>
    <w:rsid w:val="00893D7B"/>
    <w:rsid w:val="008944F0"/>
    <w:rsid w:val="008A0564"/>
    <w:rsid w:val="008A06AD"/>
    <w:rsid w:val="008A0AE4"/>
    <w:rsid w:val="008A1FD5"/>
    <w:rsid w:val="008A2525"/>
    <w:rsid w:val="008A274E"/>
    <w:rsid w:val="008A2CA9"/>
    <w:rsid w:val="008A4DA0"/>
    <w:rsid w:val="008A51B9"/>
    <w:rsid w:val="008A5FAC"/>
    <w:rsid w:val="008A614B"/>
    <w:rsid w:val="008A6857"/>
    <w:rsid w:val="008A73E4"/>
    <w:rsid w:val="008A773B"/>
    <w:rsid w:val="008B2450"/>
    <w:rsid w:val="008B2828"/>
    <w:rsid w:val="008B29F0"/>
    <w:rsid w:val="008B34A7"/>
    <w:rsid w:val="008B3B07"/>
    <w:rsid w:val="008B46BE"/>
    <w:rsid w:val="008B480B"/>
    <w:rsid w:val="008B57A3"/>
    <w:rsid w:val="008B5A85"/>
    <w:rsid w:val="008B6716"/>
    <w:rsid w:val="008B71B2"/>
    <w:rsid w:val="008B781F"/>
    <w:rsid w:val="008C16AB"/>
    <w:rsid w:val="008C1F79"/>
    <w:rsid w:val="008C1F9F"/>
    <w:rsid w:val="008C2A23"/>
    <w:rsid w:val="008C2A33"/>
    <w:rsid w:val="008C39B7"/>
    <w:rsid w:val="008C3C0F"/>
    <w:rsid w:val="008C3CF4"/>
    <w:rsid w:val="008C536D"/>
    <w:rsid w:val="008C7082"/>
    <w:rsid w:val="008C7E85"/>
    <w:rsid w:val="008D04EC"/>
    <w:rsid w:val="008D187F"/>
    <w:rsid w:val="008D1B55"/>
    <w:rsid w:val="008D372B"/>
    <w:rsid w:val="008D3E88"/>
    <w:rsid w:val="008D66B7"/>
    <w:rsid w:val="008D7568"/>
    <w:rsid w:val="008D7E24"/>
    <w:rsid w:val="008E00A8"/>
    <w:rsid w:val="008E03FB"/>
    <w:rsid w:val="008E122F"/>
    <w:rsid w:val="008E4136"/>
    <w:rsid w:val="008E41B4"/>
    <w:rsid w:val="008E55EF"/>
    <w:rsid w:val="008E7077"/>
    <w:rsid w:val="008F04BE"/>
    <w:rsid w:val="008F07BF"/>
    <w:rsid w:val="008F0AE9"/>
    <w:rsid w:val="008F0F60"/>
    <w:rsid w:val="008F20DC"/>
    <w:rsid w:val="008F3BE7"/>
    <w:rsid w:val="008F3EFC"/>
    <w:rsid w:val="008F4F96"/>
    <w:rsid w:val="008F5CCB"/>
    <w:rsid w:val="008F64BA"/>
    <w:rsid w:val="008F6E6F"/>
    <w:rsid w:val="008F6E79"/>
    <w:rsid w:val="008F7C25"/>
    <w:rsid w:val="00900730"/>
    <w:rsid w:val="00900C79"/>
    <w:rsid w:val="00901D15"/>
    <w:rsid w:val="0090773C"/>
    <w:rsid w:val="00911177"/>
    <w:rsid w:val="009118D7"/>
    <w:rsid w:val="00913399"/>
    <w:rsid w:val="00913C73"/>
    <w:rsid w:val="00913DDF"/>
    <w:rsid w:val="00914A17"/>
    <w:rsid w:val="0091605F"/>
    <w:rsid w:val="00916B91"/>
    <w:rsid w:val="00916D27"/>
    <w:rsid w:val="00921AF2"/>
    <w:rsid w:val="00923CF0"/>
    <w:rsid w:val="00925989"/>
    <w:rsid w:val="00926071"/>
    <w:rsid w:val="00926B29"/>
    <w:rsid w:val="00926FBB"/>
    <w:rsid w:val="009273E6"/>
    <w:rsid w:val="009274EB"/>
    <w:rsid w:val="009278AC"/>
    <w:rsid w:val="00927EA3"/>
    <w:rsid w:val="00927FCC"/>
    <w:rsid w:val="00930409"/>
    <w:rsid w:val="00930575"/>
    <w:rsid w:val="00931220"/>
    <w:rsid w:val="009314B0"/>
    <w:rsid w:val="00931C0C"/>
    <w:rsid w:val="009320DA"/>
    <w:rsid w:val="00932387"/>
    <w:rsid w:val="00932829"/>
    <w:rsid w:val="00932D4D"/>
    <w:rsid w:val="009338D3"/>
    <w:rsid w:val="00933D10"/>
    <w:rsid w:val="00936548"/>
    <w:rsid w:val="00936630"/>
    <w:rsid w:val="00937D2E"/>
    <w:rsid w:val="00940CBB"/>
    <w:rsid w:val="00944397"/>
    <w:rsid w:val="009443F1"/>
    <w:rsid w:val="0094444D"/>
    <w:rsid w:val="0094445F"/>
    <w:rsid w:val="009463C0"/>
    <w:rsid w:val="00947CD6"/>
    <w:rsid w:val="00950CAD"/>
    <w:rsid w:val="00950D9E"/>
    <w:rsid w:val="0095240B"/>
    <w:rsid w:val="00952FAA"/>
    <w:rsid w:val="009531D0"/>
    <w:rsid w:val="009556AA"/>
    <w:rsid w:val="009561A4"/>
    <w:rsid w:val="00956514"/>
    <w:rsid w:val="00957051"/>
    <w:rsid w:val="009578D6"/>
    <w:rsid w:val="00960402"/>
    <w:rsid w:val="009605BF"/>
    <w:rsid w:val="00960DE5"/>
    <w:rsid w:val="00961EAB"/>
    <w:rsid w:val="00961F74"/>
    <w:rsid w:val="009629B8"/>
    <w:rsid w:val="00962A8F"/>
    <w:rsid w:val="00963B3D"/>
    <w:rsid w:val="00963C00"/>
    <w:rsid w:val="00964FA7"/>
    <w:rsid w:val="00965EC1"/>
    <w:rsid w:val="00966F48"/>
    <w:rsid w:val="009677BD"/>
    <w:rsid w:val="00970973"/>
    <w:rsid w:val="00972432"/>
    <w:rsid w:val="009732A3"/>
    <w:rsid w:val="0097332F"/>
    <w:rsid w:val="00973A9D"/>
    <w:rsid w:val="009754FF"/>
    <w:rsid w:val="009760E3"/>
    <w:rsid w:val="00976189"/>
    <w:rsid w:val="009761CE"/>
    <w:rsid w:val="00976615"/>
    <w:rsid w:val="00977CE0"/>
    <w:rsid w:val="00981A55"/>
    <w:rsid w:val="00982A0D"/>
    <w:rsid w:val="00982EE2"/>
    <w:rsid w:val="00983580"/>
    <w:rsid w:val="00983AA9"/>
    <w:rsid w:val="00983ED4"/>
    <w:rsid w:val="00984214"/>
    <w:rsid w:val="00984477"/>
    <w:rsid w:val="00984AA2"/>
    <w:rsid w:val="009851A8"/>
    <w:rsid w:val="00986865"/>
    <w:rsid w:val="00990AD0"/>
    <w:rsid w:val="00991793"/>
    <w:rsid w:val="00991799"/>
    <w:rsid w:val="009932EB"/>
    <w:rsid w:val="00993820"/>
    <w:rsid w:val="00993E78"/>
    <w:rsid w:val="00994F73"/>
    <w:rsid w:val="00995552"/>
    <w:rsid w:val="009955F0"/>
    <w:rsid w:val="00995639"/>
    <w:rsid w:val="009A07EC"/>
    <w:rsid w:val="009A12DE"/>
    <w:rsid w:val="009A2103"/>
    <w:rsid w:val="009A2B1D"/>
    <w:rsid w:val="009A33FB"/>
    <w:rsid w:val="009A3F9E"/>
    <w:rsid w:val="009A4004"/>
    <w:rsid w:val="009A40F3"/>
    <w:rsid w:val="009A4A0E"/>
    <w:rsid w:val="009A5347"/>
    <w:rsid w:val="009A56A3"/>
    <w:rsid w:val="009A5A5E"/>
    <w:rsid w:val="009B0A81"/>
    <w:rsid w:val="009B43CE"/>
    <w:rsid w:val="009B4721"/>
    <w:rsid w:val="009B624C"/>
    <w:rsid w:val="009B670E"/>
    <w:rsid w:val="009B74E9"/>
    <w:rsid w:val="009C04E2"/>
    <w:rsid w:val="009C0A33"/>
    <w:rsid w:val="009C0DE9"/>
    <w:rsid w:val="009C15B3"/>
    <w:rsid w:val="009C1C21"/>
    <w:rsid w:val="009C2AA5"/>
    <w:rsid w:val="009C2DB9"/>
    <w:rsid w:val="009C36D3"/>
    <w:rsid w:val="009C3A2C"/>
    <w:rsid w:val="009C4D19"/>
    <w:rsid w:val="009C4FAC"/>
    <w:rsid w:val="009C5339"/>
    <w:rsid w:val="009C6691"/>
    <w:rsid w:val="009C6ECB"/>
    <w:rsid w:val="009C787A"/>
    <w:rsid w:val="009D1A05"/>
    <w:rsid w:val="009D288D"/>
    <w:rsid w:val="009D3962"/>
    <w:rsid w:val="009D49BB"/>
    <w:rsid w:val="009D4A7B"/>
    <w:rsid w:val="009E0534"/>
    <w:rsid w:val="009E08A4"/>
    <w:rsid w:val="009E0CFF"/>
    <w:rsid w:val="009E29DC"/>
    <w:rsid w:val="009E2DC5"/>
    <w:rsid w:val="009E454A"/>
    <w:rsid w:val="009E5F69"/>
    <w:rsid w:val="009E5FCA"/>
    <w:rsid w:val="009E62F5"/>
    <w:rsid w:val="009E6754"/>
    <w:rsid w:val="009E6BCF"/>
    <w:rsid w:val="009F048D"/>
    <w:rsid w:val="009F173F"/>
    <w:rsid w:val="009F2981"/>
    <w:rsid w:val="009F3299"/>
    <w:rsid w:val="009F377D"/>
    <w:rsid w:val="009F3BE1"/>
    <w:rsid w:val="009F427A"/>
    <w:rsid w:val="009F4664"/>
    <w:rsid w:val="009F54DA"/>
    <w:rsid w:val="009F5B12"/>
    <w:rsid w:val="009F681B"/>
    <w:rsid w:val="009F6A92"/>
    <w:rsid w:val="009F6DE5"/>
    <w:rsid w:val="009F7417"/>
    <w:rsid w:val="00A00A72"/>
    <w:rsid w:val="00A022F8"/>
    <w:rsid w:val="00A029A3"/>
    <w:rsid w:val="00A0456A"/>
    <w:rsid w:val="00A04624"/>
    <w:rsid w:val="00A048FA"/>
    <w:rsid w:val="00A0628A"/>
    <w:rsid w:val="00A06F8A"/>
    <w:rsid w:val="00A109B9"/>
    <w:rsid w:val="00A10F90"/>
    <w:rsid w:val="00A117A6"/>
    <w:rsid w:val="00A12789"/>
    <w:rsid w:val="00A135D7"/>
    <w:rsid w:val="00A14330"/>
    <w:rsid w:val="00A14D46"/>
    <w:rsid w:val="00A153D3"/>
    <w:rsid w:val="00A16830"/>
    <w:rsid w:val="00A16D5A"/>
    <w:rsid w:val="00A17F47"/>
    <w:rsid w:val="00A208DD"/>
    <w:rsid w:val="00A20D88"/>
    <w:rsid w:val="00A21114"/>
    <w:rsid w:val="00A23077"/>
    <w:rsid w:val="00A230AE"/>
    <w:rsid w:val="00A24F84"/>
    <w:rsid w:val="00A257F4"/>
    <w:rsid w:val="00A25B10"/>
    <w:rsid w:val="00A27A1D"/>
    <w:rsid w:val="00A311F5"/>
    <w:rsid w:val="00A31342"/>
    <w:rsid w:val="00A324F5"/>
    <w:rsid w:val="00A32B54"/>
    <w:rsid w:val="00A32C34"/>
    <w:rsid w:val="00A35034"/>
    <w:rsid w:val="00A372CB"/>
    <w:rsid w:val="00A37A92"/>
    <w:rsid w:val="00A40464"/>
    <w:rsid w:val="00A415B6"/>
    <w:rsid w:val="00A41E8D"/>
    <w:rsid w:val="00A44933"/>
    <w:rsid w:val="00A44956"/>
    <w:rsid w:val="00A463F3"/>
    <w:rsid w:val="00A46CDF"/>
    <w:rsid w:val="00A47165"/>
    <w:rsid w:val="00A47B64"/>
    <w:rsid w:val="00A5053E"/>
    <w:rsid w:val="00A5087B"/>
    <w:rsid w:val="00A51578"/>
    <w:rsid w:val="00A51716"/>
    <w:rsid w:val="00A51E1D"/>
    <w:rsid w:val="00A53F7B"/>
    <w:rsid w:val="00A5459A"/>
    <w:rsid w:val="00A54A51"/>
    <w:rsid w:val="00A5565A"/>
    <w:rsid w:val="00A56631"/>
    <w:rsid w:val="00A568F7"/>
    <w:rsid w:val="00A56907"/>
    <w:rsid w:val="00A57662"/>
    <w:rsid w:val="00A57C62"/>
    <w:rsid w:val="00A604F9"/>
    <w:rsid w:val="00A6061B"/>
    <w:rsid w:val="00A6069B"/>
    <w:rsid w:val="00A6180E"/>
    <w:rsid w:val="00A61FFE"/>
    <w:rsid w:val="00A621CE"/>
    <w:rsid w:val="00A62642"/>
    <w:rsid w:val="00A62A39"/>
    <w:rsid w:val="00A62BD7"/>
    <w:rsid w:val="00A6350B"/>
    <w:rsid w:val="00A65BA7"/>
    <w:rsid w:val="00A66875"/>
    <w:rsid w:val="00A669F0"/>
    <w:rsid w:val="00A67AAA"/>
    <w:rsid w:val="00A67F3F"/>
    <w:rsid w:val="00A70D96"/>
    <w:rsid w:val="00A72D79"/>
    <w:rsid w:val="00A73269"/>
    <w:rsid w:val="00A747D8"/>
    <w:rsid w:val="00A74CB5"/>
    <w:rsid w:val="00A7548B"/>
    <w:rsid w:val="00A76667"/>
    <w:rsid w:val="00A77D19"/>
    <w:rsid w:val="00A8007D"/>
    <w:rsid w:val="00A8152F"/>
    <w:rsid w:val="00A82190"/>
    <w:rsid w:val="00A83C30"/>
    <w:rsid w:val="00A840D8"/>
    <w:rsid w:val="00A845DC"/>
    <w:rsid w:val="00A847AC"/>
    <w:rsid w:val="00A85017"/>
    <w:rsid w:val="00A85036"/>
    <w:rsid w:val="00A85597"/>
    <w:rsid w:val="00A85B7E"/>
    <w:rsid w:val="00A8718D"/>
    <w:rsid w:val="00A87A78"/>
    <w:rsid w:val="00A87DCF"/>
    <w:rsid w:val="00A90FCD"/>
    <w:rsid w:val="00A91323"/>
    <w:rsid w:val="00A913B6"/>
    <w:rsid w:val="00A92B71"/>
    <w:rsid w:val="00A93361"/>
    <w:rsid w:val="00A9361C"/>
    <w:rsid w:val="00A9377E"/>
    <w:rsid w:val="00A93C16"/>
    <w:rsid w:val="00A9536D"/>
    <w:rsid w:val="00A958FA"/>
    <w:rsid w:val="00A96450"/>
    <w:rsid w:val="00A9701A"/>
    <w:rsid w:val="00A97F3B"/>
    <w:rsid w:val="00AA0ADE"/>
    <w:rsid w:val="00AA118C"/>
    <w:rsid w:val="00AA230E"/>
    <w:rsid w:val="00AA30AA"/>
    <w:rsid w:val="00AA3A09"/>
    <w:rsid w:val="00AA3BF1"/>
    <w:rsid w:val="00AA43FE"/>
    <w:rsid w:val="00AA4A64"/>
    <w:rsid w:val="00AA52F3"/>
    <w:rsid w:val="00AA66A7"/>
    <w:rsid w:val="00AA75B2"/>
    <w:rsid w:val="00AA77F0"/>
    <w:rsid w:val="00AB1696"/>
    <w:rsid w:val="00AB28AF"/>
    <w:rsid w:val="00AB5066"/>
    <w:rsid w:val="00AB68A1"/>
    <w:rsid w:val="00AB6CC6"/>
    <w:rsid w:val="00AB798B"/>
    <w:rsid w:val="00AB7992"/>
    <w:rsid w:val="00AC064A"/>
    <w:rsid w:val="00AC0DD4"/>
    <w:rsid w:val="00AC1A41"/>
    <w:rsid w:val="00AC1BD7"/>
    <w:rsid w:val="00AC460C"/>
    <w:rsid w:val="00AC4E34"/>
    <w:rsid w:val="00AC59FD"/>
    <w:rsid w:val="00AC6D2D"/>
    <w:rsid w:val="00AC7361"/>
    <w:rsid w:val="00AC7D09"/>
    <w:rsid w:val="00AD09D9"/>
    <w:rsid w:val="00AD0BD8"/>
    <w:rsid w:val="00AD2187"/>
    <w:rsid w:val="00AD2DB9"/>
    <w:rsid w:val="00AD45C8"/>
    <w:rsid w:val="00AD52B9"/>
    <w:rsid w:val="00AD5398"/>
    <w:rsid w:val="00AD5ABA"/>
    <w:rsid w:val="00AD60F0"/>
    <w:rsid w:val="00AD63F9"/>
    <w:rsid w:val="00AE0D7B"/>
    <w:rsid w:val="00AE270B"/>
    <w:rsid w:val="00AE28CD"/>
    <w:rsid w:val="00AE54B7"/>
    <w:rsid w:val="00AE5515"/>
    <w:rsid w:val="00AE56ED"/>
    <w:rsid w:val="00AE5B51"/>
    <w:rsid w:val="00AE5BFB"/>
    <w:rsid w:val="00AE7607"/>
    <w:rsid w:val="00AE7997"/>
    <w:rsid w:val="00AF0200"/>
    <w:rsid w:val="00AF0BB8"/>
    <w:rsid w:val="00AF1478"/>
    <w:rsid w:val="00AF1BFE"/>
    <w:rsid w:val="00AF20C5"/>
    <w:rsid w:val="00AF2671"/>
    <w:rsid w:val="00AF3B35"/>
    <w:rsid w:val="00AF4341"/>
    <w:rsid w:val="00AF50AE"/>
    <w:rsid w:val="00AF54CE"/>
    <w:rsid w:val="00AF55BA"/>
    <w:rsid w:val="00AF5A17"/>
    <w:rsid w:val="00AF5B55"/>
    <w:rsid w:val="00AF652C"/>
    <w:rsid w:val="00AF7319"/>
    <w:rsid w:val="00AF7863"/>
    <w:rsid w:val="00AF7B72"/>
    <w:rsid w:val="00AF7C65"/>
    <w:rsid w:val="00B0070A"/>
    <w:rsid w:val="00B007C7"/>
    <w:rsid w:val="00B007F5"/>
    <w:rsid w:val="00B00835"/>
    <w:rsid w:val="00B00FBB"/>
    <w:rsid w:val="00B0313C"/>
    <w:rsid w:val="00B03CFB"/>
    <w:rsid w:val="00B03E3A"/>
    <w:rsid w:val="00B04207"/>
    <w:rsid w:val="00B0597F"/>
    <w:rsid w:val="00B06636"/>
    <w:rsid w:val="00B12ECE"/>
    <w:rsid w:val="00B134BC"/>
    <w:rsid w:val="00B1364D"/>
    <w:rsid w:val="00B152C9"/>
    <w:rsid w:val="00B15E17"/>
    <w:rsid w:val="00B16975"/>
    <w:rsid w:val="00B17209"/>
    <w:rsid w:val="00B1753B"/>
    <w:rsid w:val="00B1787A"/>
    <w:rsid w:val="00B20FE0"/>
    <w:rsid w:val="00B21733"/>
    <w:rsid w:val="00B21984"/>
    <w:rsid w:val="00B2220F"/>
    <w:rsid w:val="00B238DA"/>
    <w:rsid w:val="00B24793"/>
    <w:rsid w:val="00B250C5"/>
    <w:rsid w:val="00B2580F"/>
    <w:rsid w:val="00B25AC2"/>
    <w:rsid w:val="00B26359"/>
    <w:rsid w:val="00B2645E"/>
    <w:rsid w:val="00B26DCD"/>
    <w:rsid w:val="00B26F8A"/>
    <w:rsid w:val="00B270E2"/>
    <w:rsid w:val="00B274F2"/>
    <w:rsid w:val="00B34756"/>
    <w:rsid w:val="00B34D3A"/>
    <w:rsid w:val="00B34EFF"/>
    <w:rsid w:val="00B352CE"/>
    <w:rsid w:val="00B36F49"/>
    <w:rsid w:val="00B374E1"/>
    <w:rsid w:val="00B4066A"/>
    <w:rsid w:val="00B4133A"/>
    <w:rsid w:val="00B418AB"/>
    <w:rsid w:val="00B41B01"/>
    <w:rsid w:val="00B42740"/>
    <w:rsid w:val="00B4398E"/>
    <w:rsid w:val="00B4399C"/>
    <w:rsid w:val="00B43C1F"/>
    <w:rsid w:val="00B445F9"/>
    <w:rsid w:val="00B46688"/>
    <w:rsid w:val="00B46774"/>
    <w:rsid w:val="00B474DD"/>
    <w:rsid w:val="00B51961"/>
    <w:rsid w:val="00B51FDF"/>
    <w:rsid w:val="00B5286F"/>
    <w:rsid w:val="00B52DDE"/>
    <w:rsid w:val="00B530B1"/>
    <w:rsid w:val="00B54E52"/>
    <w:rsid w:val="00B57AC2"/>
    <w:rsid w:val="00B61B06"/>
    <w:rsid w:val="00B6361A"/>
    <w:rsid w:val="00B6483A"/>
    <w:rsid w:val="00B64DB3"/>
    <w:rsid w:val="00B65C5D"/>
    <w:rsid w:val="00B66031"/>
    <w:rsid w:val="00B66863"/>
    <w:rsid w:val="00B67124"/>
    <w:rsid w:val="00B6733D"/>
    <w:rsid w:val="00B70E3E"/>
    <w:rsid w:val="00B71F70"/>
    <w:rsid w:val="00B72B5A"/>
    <w:rsid w:val="00B72DA7"/>
    <w:rsid w:val="00B731E8"/>
    <w:rsid w:val="00B73BA9"/>
    <w:rsid w:val="00B743E2"/>
    <w:rsid w:val="00B75811"/>
    <w:rsid w:val="00B75861"/>
    <w:rsid w:val="00B76A47"/>
    <w:rsid w:val="00B7756F"/>
    <w:rsid w:val="00B80B13"/>
    <w:rsid w:val="00B817B0"/>
    <w:rsid w:val="00B839C8"/>
    <w:rsid w:val="00B84DE7"/>
    <w:rsid w:val="00B84DFC"/>
    <w:rsid w:val="00B860E7"/>
    <w:rsid w:val="00B870FC"/>
    <w:rsid w:val="00B90749"/>
    <w:rsid w:val="00B91995"/>
    <w:rsid w:val="00B91AE8"/>
    <w:rsid w:val="00B933B6"/>
    <w:rsid w:val="00B93F93"/>
    <w:rsid w:val="00B95011"/>
    <w:rsid w:val="00B953FB"/>
    <w:rsid w:val="00B95420"/>
    <w:rsid w:val="00B95C12"/>
    <w:rsid w:val="00B95F71"/>
    <w:rsid w:val="00B96F7D"/>
    <w:rsid w:val="00B97821"/>
    <w:rsid w:val="00BA0880"/>
    <w:rsid w:val="00BA124A"/>
    <w:rsid w:val="00BA1F17"/>
    <w:rsid w:val="00BA2E65"/>
    <w:rsid w:val="00BA2EF2"/>
    <w:rsid w:val="00BA30FD"/>
    <w:rsid w:val="00BA325E"/>
    <w:rsid w:val="00BA32B5"/>
    <w:rsid w:val="00BA338E"/>
    <w:rsid w:val="00BA4114"/>
    <w:rsid w:val="00BA4E9F"/>
    <w:rsid w:val="00BA6615"/>
    <w:rsid w:val="00BB0108"/>
    <w:rsid w:val="00BB0424"/>
    <w:rsid w:val="00BB0B8D"/>
    <w:rsid w:val="00BB1995"/>
    <w:rsid w:val="00BB2840"/>
    <w:rsid w:val="00BB2B32"/>
    <w:rsid w:val="00BB3755"/>
    <w:rsid w:val="00BB4669"/>
    <w:rsid w:val="00BB4799"/>
    <w:rsid w:val="00BB4911"/>
    <w:rsid w:val="00BB4A00"/>
    <w:rsid w:val="00BB4D8C"/>
    <w:rsid w:val="00BB58B4"/>
    <w:rsid w:val="00BB6895"/>
    <w:rsid w:val="00BB6EB3"/>
    <w:rsid w:val="00BC0858"/>
    <w:rsid w:val="00BC0F9A"/>
    <w:rsid w:val="00BC1537"/>
    <w:rsid w:val="00BC1ACA"/>
    <w:rsid w:val="00BC3315"/>
    <w:rsid w:val="00BC478C"/>
    <w:rsid w:val="00BC486D"/>
    <w:rsid w:val="00BC4C8E"/>
    <w:rsid w:val="00BC5AC0"/>
    <w:rsid w:val="00BC619F"/>
    <w:rsid w:val="00BC66B6"/>
    <w:rsid w:val="00BC74DF"/>
    <w:rsid w:val="00BD0D38"/>
    <w:rsid w:val="00BD181A"/>
    <w:rsid w:val="00BD2BF7"/>
    <w:rsid w:val="00BD33DE"/>
    <w:rsid w:val="00BD3B6D"/>
    <w:rsid w:val="00BD6432"/>
    <w:rsid w:val="00BD6E8D"/>
    <w:rsid w:val="00BD7A4F"/>
    <w:rsid w:val="00BD7F7E"/>
    <w:rsid w:val="00BE0AA2"/>
    <w:rsid w:val="00BE0B15"/>
    <w:rsid w:val="00BE2014"/>
    <w:rsid w:val="00BE20C8"/>
    <w:rsid w:val="00BE2610"/>
    <w:rsid w:val="00BE26AB"/>
    <w:rsid w:val="00BE2F4C"/>
    <w:rsid w:val="00BE3881"/>
    <w:rsid w:val="00BE4369"/>
    <w:rsid w:val="00BE491C"/>
    <w:rsid w:val="00BE49F4"/>
    <w:rsid w:val="00BE55D0"/>
    <w:rsid w:val="00BE62FB"/>
    <w:rsid w:val="00BE7670"/>
    <w:rsid w:val="00BF0469"/>
    <w:rsid w:val="00BF140B"/>
    <w:rsid w:val="00BF3129"/>
    <w:rsid w:val="00BF34D7"/>
    <w:rsid w:val="00BF4888"/>
    <w:rsid w:val="00BF5F8D"/>
    <w:rsid w:val="00BF775F"/>
    <w:rsid w:val="00C00394"/>
    <w:rsid w:val="00C00AF0"/>
    <w:rsid w:val="00C01D05"/>
    <w:rsid w:val="00C01ED5"/>
    <w:rsid w:val="00C028BF"/>
    <w:rsid w:val="00C03CAE"/>
    <w:rsid w:val="00C03DD1"/>
    <w:rsid w:val="00C0449F"/>
    <w:rsid w:val="00C05103"/>
    <w:rsid w:val="00C05A25"/>
    <w:rsid w:val="00C1022B"/>
    <w:rsid w:val="00C10382"/>
    <w:rsid w:val="00C10451"/>
    <w:rsid w:val="00C105F0"/>
    <w:rsid w:val="00C107FC"/>
    <w:rsid w:val="00C10EDD"/>
    <w:rsid w:val="00C1139A"/>
    <w:rsid w:val="00C13466"/>
    <w:rsid w:val="00C14281"/>
    <w:rsid w:val="00C14A07"/>
    <w:rsid w:val="00C14B12"/>
    <w:rsid w:val="00C15071"/>
    <w:rsid w:val="00C15C22"/>
    <w:rsid w:val="00C17408"/>
    <w:rsid w:val="00C17A3E"/>
    <w:rsid w:val="00C20F57"/>
    <w:rsid w:val="00C23643"/>
    <w:rsid w:val="00C236C9"/>
    <w:rsid w:val="00C238D3"/>
    <w:rsid w:val="00C23CEA"/>
    <w:rsid w:val="00C23D89"/>
    <w:rsid w:val="00C24763"/>
    <w:rsid w:val="00C25487"/>
    <w:rsid w:val="00C25D8D"/>
    <w:rsid w:val="00C268C4"/>
    <w:rsid w:val="00C27C09"/>
    <w:rsid w:val="00C317E3"/>
    <w:rsid w:val="00C324F3"/>
    <w:rsid w:val="00C337DD"/>
    <w:rsid w:val="00C33E85"/>
    <w:rsid w:val="00C340FC"/>
    <w:rsid w:val="00C341E0"/>
    <w:rsid w:val="00C3456B"/>
    <w:rsid w:val="00C34643"/>
    <w:rsid w:val="00C35358"/>
    <w:rsid w:val="00C354AD"/>
    <w:rsid w:val="00C3649E"/>
    <w:rsid w:val="00C366FA"/>
    <w:rsid w:val="00C37075"/>
    <w:rsid w:val="00C37683"/>
    <w:rsid w:val="00C37B16"/>
    <w:rsid w:val="00C40525"/>
    <w:rsid w:val="00C40D07"/>
    <w:rsid w:val="00C40EA9"/>
    <w:rsid w:val="00C41357"/>
    <w:rsid w:val="00C419A8"/>
    <w:rsid w:val="00C41E20"/>
    <w:rsid w:val="00C420FC"/>
    <w:rsid w:val="00C42FA1"/>
    <w:rsid w:val="00C44902"/>
    <w:rsid w:val="00C44EF5"/>
    <w:rsid w:val="00C45B3A"/>
    <w:rsid w:val="00C476D4"/>
    <w:rsid w:val="00C478BE"/>
    <w:rsid w:val="00C511E2"/>
    <w:rsid w:val="00C53B6D"/>
    <w:rsid w:val="00C53FF9"/>
    <w:rsid w:val="00C559E3"/>
    <w:rsid w:val="00C57A86"/>
    <w:rsid w:val="00C6026F"/>
    <w:rsid w:val="00C60D16"/>
    <w:rsid w:val="00C61B71"/>
    <w:rsid w:val="00C64538"/>
    <w:rsid w:val="00C645BB"/>
    <w:rsid w:val="00C6694A"/>
    <w:rsid w:val="00C67A39"/>
    <w:rsid w:val="00C70305"/>
    <w:rsid w:val="00C71D9D"/>
    <w:rsid w:val="00C735A3"/>
    <w:rsid w:val="00C737A0"/>
    <w:rsid w:val="00C73BAC"/>
    <w:rsid w:val="00C74FD1"/>
    <w:rsid w:val="00C75BC9"/>
    <w:rsid w:val="00C7618F"/>
    <w:rsid w:val="00C76FD2"/>
    <w:rsid w:val="00C77F6B"/>
    <w:rsid w:val="00C8008D"/>
    <w:rsid w:val="00C81D7A"/>
    <w:rsid w:val="00C8475B"/>
    <w:rsid w:val="00C85551"/>
    <w:rsid w:val="00C85D29"/>
    <w:rsid w:val="00C87185"/>
    <w:rsid w:val="00C905A1"/>
    <w:rsid w:val="00C90DC1"/>
    <w:rsid w:val="00C911AF"/>
    <w:rsid w:val="00C912EB"/>
    <w:rsid w:val="00C91B2C"/>
    <w:rsid w:val="00C91BB2"/>
    <w:rsid w:val="00C92520"/>
    <w:rsid w:val="00C92AF0"/>
    <w:rsid w:val="00C9355A"/>
    <w:rsid w:val="00C937EB"/>
    <w:rsid w:val="00C938E2"/>
    <w:rsid w:val="00C9395C"/>
    <w:rsid w:val="00C96003"/>
    <w:rsid w:val="00C96151"/>
    <w:rsid w:val="00C97F1B"/>
    <w:rsid w:val="00CA12CC"/>
    <w:rsid w:val="00CA1D6A"/>
    <w:rsid w:val="00CA2922"/>
    <w:rsid w:val="00CA2A0B"/>
    <w:rsid w:val="00CA2DF0"/>
    <w:rsid w:val="00CA3F0F"/>
    <w:rsid w:val="00CA68F3"/>
    <w:rsid w:val="00CA71FA"/>
    <w:rsid w:val="00CA7CBD"/>
    <w:rsid w:val="00CA7D96"/>
    <w:rsid w:val="00CB0065"/>
    <w:rsid w:val="00CB0543"/>
    <w:rsid w:val="00CB173B"/>
    <w:rsid w:val="00CB1B62"/>
    <w:rsid w:val="00CB291B"/>
    <w:rsid w:val="00CB3BC2"/>
    <w:rsid w:val="00CB3ED3"/>
    <w:rsid w:val="00CB4911"/>
    <w:rsid w:val="00CB5B17"/>
    <w:rsid w:val="00CB7365"/>
    <w:rsid w:val="00CC0762"/>
    <w:rsid w:val="00CC0EBA"/>
    <w:rsid w:val="00CC1011"/>
    <w:rsid w:val="00CC3D8C"/>
    <w:rsid w:val="00CC412D"/>
    <w:rsid w:val="00CC5D51"/>
    <w:rsid w:val="00CC6D40"/>
    <w:rsid w:val="00CD1478"/>
    <w:rsid w:val="00CD152C"/>
    <w:rsid w:val="00CD21BA"/>
    <w:rsid w:val="00CD5681"/>
    <w:rsid w:val="00CD68A2"/>
    <w:rsid w:val="00CD6999"/>
    <w:rsid w:val="00CD7087"/>
    <w:rsid w:val="00CD74E6"/>
    <w:rsid w:val="00CE1D34"/>
    <w:rsid w:val="00CE3BAF"/>
    <w:rsid w:val="00CE580E"/>
    <w:rsid w:val="00CE649B"/>
    <w:rsid w:val="00CE6977"/>
    <w:rsid w:val="00CE6E45"/>
    <w:rsid w:val="00CE7806"/>
    <w:rsid w:val="00CE7A90"/>
    <w:rsid w:val="00CF2835"/>
    <w:rsid w:val="00CF29B1"/>
    <w:rsid w:val="00CF3803"/>
    <w:rsid w:val="00CF3BDC"/>
    <w:rsid w:val="00CF5A59"/>
    <w:rsid w:val="00CF72E6"/>
    <w:rsid w:val="00D00AE2"/>
    <w:rsid w:val="00D02DCC"/>
    <w:rsid w:val="00D02FAC"/>
    <w:rsid w:val="00D05DB7"/>
    <w:rsid w:val="00D06AA7"/>
    <w:rsid w:val="00D06BBE"/>
    <w:rsid w:val="00D102E6"/>
    <w:rsid w:val="00D105BD"/>
    <w:rsid w:val="00D106C3"/>
    <w:rsid w:val="00D10A6B"/>
    <w:rsid w:val="00D10B3E"/>
    <w:rsid w:val="00D1163C"/>
    <w:rsid w:val="00D1230F"/>
    <w:rsid w:val="00D127C4"/>
    <w:rsid w:val="00D12EF8"/>
    <w:rsid w:val="00D13BD3"/>
    <w:rsid w:val="00D14672"/>
    <w:rsid w:val="00D16114"/>
    <w:rsid w:val="00D20F88"/>
    <w:rsid w:val="00D21058"/>
    <w:rsid w:val="00D21784"/>
    <w:rsid w:val="00D21B01"/>
    <w:rsid w:val="00D22A6C"/>
    <w:rsid w:val="00D22CE7"/>
    <w:rsid w:val="00D2364E"/>
    <w:rsid w:val="00D2390D"/>
    <w:rsid w:val="00D23F64"/>
    <w:rsid w:val="00D24BF7"/>
    <w:rsid w:val="00D24F94"/>
    <w:rsid w:val="00D2655D"/>
    <w:rsid w:val="00D30F74"/>
    <w:rsid w:val="00D336FB"/>
    <w:rsid w:val="00D33ACC"/>
    <w:rsid w:val="00D33CF3"/>
    <w:rsid w:val="00D35B65"/>
    <w:rsid w:val="00D36918"/>
    <w:rsid w:val="00D41AFD"/>
    <w:rsid w:val="00D431B6"/>
    <w:rsid w:val="00D432DC"/>
    <w:rsid w:val="00D43A42"/>
    <w:rsid w:val="00D44052"/>
    <w:rsid w:val="00D44348"/>
    <w:rsid w:val="00D44D61"/>
    <w:rsid w:val="00D46B13"/>
    <w:rsid w:val="00D46C34"/>
    <w:rsid w:val="00D50C37"/>
    <w:rsid w:val="00D52E13"/>
    <w:rsid w:val="00D5372C"/>
    <w:rsid w:val="00D5532D"/>
    <w:rsid w:val="00D56E93"/>
    <w:rsid w:val="00D61835"/>
    <w:rsid w:val="00D62014"/>
    <w:rsid w:val="00D627CC"/>
    <w:rsid w:val="00D63027"/>
    <w:rsid w:val="00D6422F"/>
    <w:rsid w:val="00D64509"/>
    <w:rsid w:val="00D66931"/>
    <w:rsid w:val="00D702E0"/>
    <w:rsid w:val="00D72492"/>
    <w:rsid w:val="00D7269A"/>
    <w:rsid w:val="00D74897"/>
    <w:rsid w:val="00D74930"/>
    <w:rsid w:val="00D74DC5"/>
    <w:rsid w:val="00D74F17"/>
    <w:rsid w:val="00D754AE"/>
    <w:rsid w:val="00D75848"/>
    <w:rsid w:val="00D76D0D"/>
    <w:rsid w:val="00D81561"/>
    <w:rsid w:val="00D829E6"/>
    <w:rsid w:val="00D82FC7"/>
    <w:rsid w:val="00D8356B"/>
    <w:rsid w:val="00D8395C"/>
    <w:rsid w:val="00D83A4E"/>
    <w:rsid w:val="00D84F98"/>
    <w:rsid w:val="00D852E2"/>
    <w:rsid w:val="00D870E0"/>
    <w:rsid w:val="00D90EED"/>
    <w:rsid w:val="00D9100E"/>
    <w:rsid w:val="00D91363"/>
    <w:rsid w:val="00D9186F"/>
    <w:rsid w:val="00D933B0"/>
    <w:rsid w:val="00D94A35"/>
    <w:rsid w:val="00D950DF"/>
    <w:rsid w:val="00D96E90"/>
    <w:rsid w:val="00D975CE"/>
    <w:rsid w:val="00DA0F6F"/>
    <w:rsid w:val="00DA211F"/>
    <w:rsid w:val="00DA229F"/>
    <w:rsid w:val="00DA2657"/>
    <w:rsid w:val="00DA2E55"/>
    <w:rsid w:val="00DA3CBD"/>
    <w:rsid w:val="00DA3FEC"/>
    <w:rsid w:val="00DA46B4"/>
    <w:rsid w:val="00DA4BEE"/>
    <w:rsid w:val="00DB054A"/>
    <w:rsid w:val="00DB0D56"/>
    <w:rsid w:val="00DB1B28"/>
    <w:rsid w:val="00DB3680"/>
    <w:rsid w:val="00DB3D7B"/>
    <w:rsid w:val="00DB4930"/>
    <w:rsid w:val="00DB50A6"/>
    <w:rsid w:val="00DB77FC"/>
    <w:rsid w:val="00DB78D8"/>
    <w:rsid w:val="00DB7BA8"/>
    <w:rsid w:val="00DC0778"/>
    <w:rsid w:val="00DC0A31"/>
    <w:rsid w:val="00DC131A"/>
    <w:rsid w:val="00DC2638"/>
    <w:rsid w:val="00DC3250"/>
    <w:rsid w:val="00DC4C52"/>
    <w:rsid w:val="00DD0519"/>
    <w:rsid w:val="00DD2C9A"/>
    <w:rsid w:val="00DD303A"/>
    <w:rsid w:val="00DD3BDA"/>
    <w:rsid w:val="00DD3E0D"/>
    <w:rsid w:val="00DD5397"/>
    <w:rsid w:val="00DD5A08"/>
    <w:rsid w:val="00DD5A6E"/>
    <w:rsid w:val="00DD5D04"/>
    <w:rsid w:val="00DD6421"/>
    <w:rsid w:val="00DD6C0E"/>
    <w:rsid w:val="00DD7FCB"/>
    <w:rsid w:val="00DE0815"/>
    <w:rsid w:val="00DE13A2"/>
    <w:rsid w:val="00DE1491"/>
    <w:rsid w:val="00DE25CE"/>
    <w:rsid w:val="00DE43EE"/>
    <w:rsid w:val="00DE4814"/>
    <w:rsid w:val="00DE6695"/>
    <w:rsid w:val="00DE7E58"/>
    <w:rsid w:val="00DF3213"/>
    <w:rsid w:val="00DF4B88"/>
    <w:rsid w:val="00DF4C91"/>
    <w:rsid w:val="00DF56B0"/>
    <w:rsid w:val="00DF57CE"/>
    <w:rsid w:val="00DF64B9"/>
    <w:rsid w:val="00DF73C7"/>
    <w:rsid w:val="00E004DF"/>
    <w:rsid w:val="00E0175E"/>
    <w:rsid w:val="00E02924"/>
    <w:rsid w:val="00E06923"/>
    <w:rsid w:val="00E06F12"/>
    <w:rsid w:val="00E07CBF"/>
    <w:rsid w:val="00E1011B"/>
    <w:rsid w:val="00E1049E"/>
    <w:rsid w:val="00E11172"/>
    <w:rsid w:val="00E11994"/>
    <w:rsid w:val="00E12189"/>
    <w:rsid w:val="00E14688"/>
    <w:rsid w:val="00E15307"/>
    <w:rsid w:val="00E1562F"/>
    <w:rsid w:val="00E1564E"/>
    <w:rsid w:val="00E16231"/>
    <w:rsid w:val="00E1676B"/>
    <w:rsid w:val="00E170C8"/>
    <w:rsid w:val="00E2003B"/>
    <w:rsid w:val="00E20624"/>
    <w:rsid w:val="00E22791"/>
    <w:rsid w:val="00E2280E"/>
    <w:rsid w:val="00E23B0F"/>
    <w:rsid w:val="00E26A94"/>
    <w:rsid w:val="00E26B0E"/>
    <w:rsid w:val="00E302CB"/>
    <w:rsid w:val="00E3041B"/>
    <w:rsid w:val="00E305D5"/>
    <w:rsid w:val="00E3074C"/>
    <w:rsid w:val="00E331A3"/>
    <w:rsid w:val="00E34E26"/>
    <w:rsid w:val="00E34EC9"/>
    <w:rsid w:val="00E34F8C"/>
    <w:rsid w:val="00E358B0"/>
    <w:rsid w:val="00E3629D"/>
    <w:rsid w:val="00E3637B"/>
    <w:rsid w:val="00E37208"/>
    <w:rsid w:val="00E40D4F"/>
    <w:rsid w:val="00E412DF"/>
    <w:rsid w:val="00E414BE"/>
    <w:rsid w:val="00E41DB3"/>
    <w:rsid w:val="00E42303"/>
    <w:rsid w:val="00E43E3A"/>
    <w:rsid w:val="00E44356"/>
    <w:rsid w:val="00E45B3E"/>
    <w:rsid w:val="00E47708"/>
    <w:rsid w:val="00E47A63"/>
    <w:rsid w:val="00E47BD1"/>
    <w:rsid w:val="00E47E52"/>
    <w:rsid w:val="00E50801"/>
    <w:rsid w:val="00E512C4"/>
    <w:rsid w:val="00E52785"/>
    <w:rsid w:val="00E5383A"/>
    <w:rsid w:val="00E53B95"/>
    <w:rsid w:val="00E5480F"/>
    <w:rsid w:val="00E56796"/>
    <w:rsid w:val="00E5736D"/>
    <w:rsid w:val="00E574FE"/>
    <w:rsid w:val="00E60B35"/>
    <w:rsid w:val="00E612A7"/>
    <w:rsid w:val="00E612CF"/>
    <w:rsid w:val="00E662EA"/>
    <w:rsid w:val="00E66D6B"/>
    <w:rsid w:val="00E67137"/>
    <w:rsid w:val="00E67488"/>
    <w:rsid w:val="00E70674"/>
    <w:rsid w:val="00E71720"/>
    <w:rsid w:val="00E71EB5"/>
    <w:rsid w:val="00E7203D"/>
    <w:rsid w:val="00E72E33"/>
    <w:rsid w:val="00E73B3A"/>
    <w:rsid w:val="00E73F03"/>
    <w:rsid w:val="00E74B51"/>
    <w:rsid w:val="00E75668"/>
    <w:rsid w:val="00E75F84"/>
    <w:rsid w:val="00E7691B"/>
    <w:rsid w:val="00E77522"/>
    <w:rsid w:val="00E809F0"/>
    <w:rsid w:val="00E824AE"/>
    <w:rsid w:val="00E8351B"/>
    <w:rsid w:val="00E8509E"/>
    <w:rsid w:val="00E8537F"/>
    <w:rsid w:val="00E8580D"/>
    <w:rsid w:val="00E8594A"/>
    <w:rsid w:val="00E868D2"/>
    <w:rsid w:val="00E878F6"/>
    <w:rsid w:val="00E87CCA"/>
    <w:rsid w:val="00E9031C"/>
    <w:rsid w:val="00E9068C"/>
    <w:rsid w:val="00E9108D"/>
    <w:rsid w:val="00E928E3"/>
    <w:rsid w:val="00E92929"/>
    <w:rsid w:val="00E94A37"/>
    <w:rsid w:val="00E94A67"/>
    <w:rsid w:val="00E96395"/>
    <w:rsid w:val="00E969D9"/>
    <w:rsid w:val="00E97151"/>
    <w:rsid w:val="00E9751A"/>
    <w:rsid w:val="00E976DD"/>
    <w:rsid w:val="00E97E80"/>
    <w:rsid w:val="00EA0389"/>
    <w:rsid w:val="00EA0491"/>
    <w:rsid w:val="00EA158A"/>
    <w:rsid w:val="00EA1A26"/>
    <w:rsid w:val="00EA4203"/>
    <w:rsid w:val="00EA4A60"/>
    <w:rsid w:val="00EA62E9"/>
    <w:rsid w:val="00EA6576"/>
    <w:rsid w:val="00EA71E8"/>
    <w:rsid w:val="00EB36AC"/>
    <w:rsid w:val="00EB50D3"/>
    <w:rsid w:val="00EB730E"/>
    <w:rsid w:val="00EC01CC"/>
    <w:rsid w:val="00EC0A2F"/>
    <w:rsid w:val="00EC13C1"/>
    <w:rsid w:val="00EC1EFC"/>
    <w:rsid w:val="00EC2AC0"/>
    <w:rsid w:val="00EC34E4"/>
    <w:rsid w:val="00EC5555"/>
    <w:rsid w:val="00EC6830"/>
    <w:rsid w:val="00EC6B1D"/>
    <w:rsid w:val="00EC6FCD"/>
    <w:rsid w:val="00EC7E3D"/>
    <w:rsid w:val="00ED1B58"/>
    <w:rsid w:val="00ED4153"/>
    <w:rsid w:val="00ED5252"/>
    <w:rsid w:val="00ED58B7"/>
    <w:rsid w:val="00ED5FA8"/>
    <w:rsid w:val="00ED6898"/>
    <w:rsid w:val="00ED6D56"/>
    <w:rsid w:val="00ED6EAF"/>
    <w:rsid w:val="00ED7A0B"/>
    <w:rsid w:val="00EE06F9"/>
    <w:rsid w:val="00EE0BFE"/>
    <w:rsid w:val="00EE0C36"/>
    <w:rsid w:val="00EE1317"/>
    <w:rsid w:val="00EE212D"/>
    <w:rsid w:val="00EE298F"/>
    <w:rsid w:val="00EE3AA3"/>
    <w:rsid w:val="00EE4CE8"/>
    <w:rsid w:val="00EE4F62"/>
    <w:rsid w:val="00EE558D"/>
    <w:rsid w:val="00EE70EA"/>
    <w:rsid w:val="00EE713A"/>
    <w:rsid w:val="00EE7C45"/>
    <w:rsid w:val="00EE7C9F"/>
    <w:rsid w:val="00EF1CAA"/>
    <w:rsid w:val="00EF1E69"/>
    <w:rsid w:val="00EF3051"/>
    <w:rsid w:val="00EF39EF"/>
    <w:rsid w:val="00EF552E"/>
    <w:rsid w:val="00EF7579"/>
    <w:rsid w:val="00EF7E03"/>
    <w:rsid w:val="00F0137D"/>
    <w:rsid w:val="00F01454"/>
    <w:rsid w:val="00F014FE"/>
    <w:rsid w:val="00F0155A"/>
    <w:rsid w:val="00F017D2"/>
    <w:rsid w:val="00F01850"/>
    <w:rsid w:val="00F01A0C"/>
    <w:rsid w:val="00F01E17"/>
    <w:rsid w:val="00F0254E"/>
    <w:rsid w:val="00F02E86"/>
    <w:rsid w:val="00F0310D"/>
    <w:rsid w:val="00F03674"/>
    <w:rsid w:val="00F03688"/>
    <w:rsid w:val="00F03921"/>
    <w:rsid w:val="00F05351"/>
    <w:rsid w:val="00F0601C"/>
    <w:rsid w:val="00F06163"/>
    <w:rsid w:val="00F0711C"/>
    <w:rsid w:val="00F07249"/>
    <w:rsid w:val="00F07469"/>
    <w:rsid w:val="00F077D2"/>
    <w:rsid w:val="00F10206"/>
    <w:rsid w:val="00F106BF"/>
    <w:rsid w:val="00F11A15"/>
    <w:rsid w:val="00F12BC1"/>
    <w:rsid w:val="00F1395A"/>
    <w:rsid w:val="00F139B9"/>
    <w:rsid w:val="00F13EC6"/>
    <w:rsid w:val="00F14416"/>
    <w:rsid w:val="00F158BD"/>
    <w:rsid w:val="00F159EA"/>
    <w:rsid w:val="00F20ED0"/>
    <w:rsid w:val="00F21733"/>
    <w:rsid w:val="00F21816"/>
    <w:rsid w:val="00F218E1"/>
    <w:rsid w:val="00F22A61"/>
    <w:rsid w:val="00F22B55"/>
    <w:rsid w:val="00F22C7D"/>
    <w:rsid w:val="00F230EB"/>
    <w:rsid w:val="00F23D56"/>
    <w:rsid w:val="00F2438E"/>
    <w:rsid w:val="00F2494D"/>
    <w:rsid w:val="00F24CFD"/>
    <w:rsid w:val="00F2574B"/>
    <w:rsid w:val="00F25B80"/>
    <w:rsid w:val="00F2636E"/>
    <w:rsid w:val="00F273FA"/>
    <w:rsid w:val="00F315B1"/>
    <w:rsid w:val="00F31602"/>
    <w:rsid w:val="00F31786"/>
    <w:rsid w:val="00F32245"/>
    <w:rsid w:val="00F329CA"/>
    <w:rsid w:val="00F334FF"/>
    <w:rsid w:val="00F338A9"/>
    <w:rsid w:val="00F35735"/>
    <w:rsid w:val="00F3599E"/>
    <w:rsid w:val="00F36CA5"/>
    <w:rsid w:val="00F37583"/>
    <w:rsid w:val="00F37CE2"/>
    <w:rsid w:val="00F4026E"/>
    <w:rsid w:val="00F41594"/>
    <w:rsid w:val="00F41B5E"/>
    <w:rsid w:val="00F41C53"/>
    <w:rsid w:val="00F42F28"/>
    <w:rsid w:val="00F43615"/>
    <w:rsid w:val="00F44EC5"/>
    <w:rsid w:val="00F462DD"/>
    <w:rsid w:val="00F463AF"/>
    <w:rsid w:val="00F47911"/>
    <w:rsid w:val="00F523A7"/>
    <w:rsid w:val="00F52A58"/>
    <w:rsid w:val="00F5364A"/>
    <w:rsid w:val="00F54225"/>
    <w:rsid w:val="00F54925"/>
    <w:rsid w:val="00F54E6A"/>
    <w:rsid w:val="00F555A9"/>
    <w:rsid w:val="00F60BA3"/>
    <w:rsid w:val="00F60E78"/>
    <w:rsid w:val="00F64BEF"/>
    <w:rsid w:val="00F653BD"/>
    <w:rsid w:val="00F656A0"/>
    <w:rsid w:val="00F65858"/>
    <w:rsid w:val="00F665E5"/>
    <w:rsid w:val="00F668C8"/>
    <w:rsid w:val="00F6712D"/>
    <w:rsid w:val="00F7002E"/>
    <w:rsid w:val="00F71923"/>
    <w:rsid w:val="00F71B45"/>
    <w:rsid w:val="00F72B94"/>
    <w:rsid w:val="00F72C1A"/>
    <w:rsid w:val="00F72E45"/>
    <w:rsid w:val="00F7419B"/>
    <w:rsid w:val="00F76EDC"/>
    <w:rsid w:val="00F7748D"/>
    <w:rsid w:val="00F80E90"/>
    <w:rsid w:val="00F818E3"/>
    <w:rsid w:val="00F8211C"/>
    <w:rsid w:val="00F83CDF"/>
    <w:rsid w:val="00F83FD4"/>
    <w:rsid w:val="00F84CDB"/>
    <w:rsid w:val="00F85C15"/>
    <w:rsid w:val="00F861DA"/>
    <w:rsid w:val="00F8753A"/>
    <w:rsid w:val="00F8781C"/>
    <w:rsid w:val="00F87A1E"/>
    <w:rsid w:val="00F907AE"/>
    <w:rsid w:val="00F907DE"/>
    <w:rsid w:val="00F90E72"/>
    <w:rsid w:val="00F92676"/>
    <w:rsid w:val="00F92B4D"/>
    <w:rsid w:val="00F9433A"/>
    <w:rsid w:val="00F9469C"/>
    <w:rsid w:val="00F94C36"/>
    <w:rsid w:val="00F94DC2"/>
    <w:rsid w:val="00F963B2"/>
    <w:rsid w:val="00F9748D"/>
    <w:rsid w:val="00FA010E"/>
    <w:rsid w:val="00FA10AD"/>
    <w:rsid w:val="00FA1216"/>
    <w:rsid w:val="00FA1C6B"/>
    <w:rsid w:val="00FA2728"/>
    <w:rsid w:val="00FA5FD5"/>
    <w:rsid w:val="00FA6555"/>
    <w:rsid w:val="00FA68A4"/>
    <w:rsid w:val="00FA691D"/>
    <w:rsid w:val="00FA6BEB"/>
    <w:rsid w:val="00FA6D69"/>
    <w:rsid w:val="00FB2B8F"/>
    <w:rsid w:val="00FB412F"/>
    <w:rsid w:val="00FB5474"/>
    <w:rsid w:val="00FB5655"/>
    <w:rsid w:val="00FB59FC"/>
    <w:rsid w:val="00FB642F"/>
    <w:rsid w:val="00FB64AE"/>
    <w:rsid w:val="00FC0026"/>
    <w:rsid w:val="00FC0792"/>
    <w:rsid w:val="00FC0843"/>
    <w:rsid w:val="00FC0DB9"/>
    <w:rsid w:val="00FC1517"/>
    <w:rsid w:val="00FC1F4D"/>
    <w:rsid w:val="00FC2A32"/>
    <w:rsid w:val="00FC3091"/>
    <w:rsid w:val="00FC329E"/>
    <w:rsid w:val="00FC366F"/>
    <w:rsid w:val="00FC389D"/>
    <w:rsid w:val="00FC3ED8"/>
    <w:rsid w:val="00FC49CF"/>
    <w:rsid w:val="00FC4A0C"/>
    <w:rsid w:val="00FC59F9"/>
    <w:rsid w:val="00FC6CA0"/>
    <w:rsid w:val="00FC76D5"/>
    <w:rsid w:val="00FC7C59"/>
    <w:rsid w:val="00FD0388"/>
    <w:rsid w:val="00FD0AD2"/>
    <w:rsid w:val="00FD128B"/>
    <w:rsid w:val="00FD1806"/>
    <w:rsid w:val="00FD19FC"/>
    <w:rsid w:val="00FD27C1"/>
    <w:rsid w:val="00FD28C0"/>
    <w:rsid w:val="00FD497A"/>
    <w:rsid w:val="00FD64A3"/>
    <w:rsid w:val="00FD6677"/>
    <w:rsid w:val="00FD6A43"/>
    <w:rsid w:val="00FD72AC"/>
    <w:rsid w:val="00FE02EA"/>
    <w:rsid w:val="00FE1AF3"/>
    <w:rsid w:val="00FE4346"/>
    <w:rsid w:val="00FE44AA"/>
    <w:rsid w:val="00FE567B"/>
    <w:rsid w:val="00FE7641"/>
    <w:rsid w:val="00FE7A4D"/>
    <w:rsid w:val="00FF097F"/>
    <w:rsid w:val="00FF1C98"/>
    <w:rsid w:val="00FF634D"/>
    <w:rsid w:val="00FF74EB"/>
    <w:rsid w:val="011C0918"/>
    <w:rsid w:val="047C0700"/>
    <w:rsid w:val="05AC4D58"/>
    <w:rsid w:val="05BF0231"/>
    <w:rsid w:val="063D0F31"/>
    <w:rsid w:val="071146F6"/>
    <w:rsid w:val="07AA5CA9"/>
    <w:rsid w:val="08FC0F32"/>
    <w:rsid w:val="0A61492E"/>
    <w:rsid w:val="0A694EBA"/>
    <w:rsid w:val="0CBE5C5F"/>
    <w:rsid w:val="10E87F97"/>
    <w:rsid w:val="11B649F8"/>
    <w:rsid w:val="12321E92"/>
    <w:rsid w:val="143E3E29"/>
    <w:rsid w:val="15D36A87"/>
    <w:rsid w:val="15E72156"/>
    <w:rsid w:val="163D744C"/>
    <w:rsid w:val="170E68D4"/>
    <w:rsid w:val="174D66DE"/>
    <w:rsid w:val="179C57E6"/>
    <w:rsid w:val="1843191D"/>
    <w:rsid w:val="18D01276"/>
    <w:rsid w:val="191A47D4"/>
    <w:rsid w:val="1A384D77"/>
    <w:rsid w:val="1AE447FC"/>
    <w:rsid w:val="1BF22A97"/>
    <w:rsid w:val="1DF919CC"/>
    <w:rsid w:val="1E497552"/>
    <w:rsid w:val="1E8202F3"/>
    <w:rsid w:val="1ED9412F"/>
    <w:rsid w:val="229F06B0"/>
    <w:rsid w:val="23A51DA6"/>
    <w:rsid w:val="23A56DAC"/>
    <w:rsid w:val="240B439A"/>
    <w:rsid w:val="24661D0C"/>
    <w:rsid w:val="27EF792B"/>
    <w:rsid w:val="281D7DA9"/>
    <w:rsid w:val="28685DC9"/>
    <w:rsid w:val="28C53AD8"/>
    <w:rsid w:val="29C5069C"/>
    <w:rsid w:val="2AEE3220"/>
    <w:rsid w:val="2B3A5F36"/>
    <w:rsid w:val="2B863FEF"/>
    <w:rsid w:val="2C557DCC"/>
    <w:rsid w:val="2D105BFB"/>
    <w:rsid w:val="2D3B7AC3"/>
    <w:rsid w:val="2D9D6057"/>
    <w:rsid w:val="2E593183"/>
    <w:rsid w:val="2ECB03C6"/>
    <w:rsid w:val="2FB0013B"/>
    <w:rsid w:val="310D4306"/>
    <w:rsid w:val="320A4A93"/>
    <w:rsid w:val="33535DE3"/>
    <w:rsid w:val="33BA356A"/>
    <w:rsid w:val="34964F57"/>
    <w:rsid w:val="3568683D"/>
    <w:rsid w:val="35CA015C"/>
    <w:rsid w:val="38D738F5"/>
    <w:rsid w:val="3A3C5EAF"/>
    <w:rsid w:val="3C9B6A2E"/>
    <w:rsid w:val="3CA7583E"/>
    <w:rsid w:val="3E3C150F"/>
    <w:rsid w:val="3EC75F06"/>
    <w:rsid w:val="42274EA2"/>
    <w:rsid w:val="454D4CAD"/>
    <w:rsid w:val="459B2240"/>
    <w:rsid w:val="45D74202"/>
    <w:rsid w:val="474A384B"/>
    <w:rsid w:val="49A74DE9"/>
    <w:rsid w:val="4A701FEF"/>
    <w:rsid w:val="4C92328A"/>
    <w:rsid w:val="4D980738"/>
    <w:rsid w:val="4E310603"/>
    <w:rsid w:val="4F15312D"/>
    <w:rsid w:val="4FE02773"/>
    <w:rsid w:val="503F4163"/>
    <w:rsid w:val="515E160B"/>
    <w:rsid w:val="51874201"/>
    <w:rsid w:val="52B90D15"/>
    <w:rsid w:val="532022FE"/>
    <w:rsid w:val="537E67B0"/>
    <w:rsid w:val="54793847"/>
    <w:rsid w:val="565515AF"/>
    <w:rsid w:val="56CD0BD8"/>
    <w:rsid w:val="56EC041B"/>
    <w:rsid w:val="56F80AD1"/>
    <w:rsid w:val="58C31EA4"/>
    <w:rsid w:val="597B51DC"/>
    <w:rsid w:val="5BCA3C69"/>
    <w:rsid w:val="5E376929"/>
    <w:rsid w:val="5F1E40AA"/>
    <w:rsid w:val="5F5B2035"/>
    <w:rsid w:val="612B4302"/>
    <w:rsid w:val="62E61F7A"/>
    <w:rsid w:val="632F46C6"/>
    <w:rsid w:val="639B2DB3"/>
    <w:rsid w:val="67527824"/>
    <w:rsid w:val="67DE4AEC"/>
    <w:rsid w:val="690264BF"/>
    <w:rsid w:val="6A200B44"/>
    <w:rsid w:val="6FBC64C1"/>
    <w:rsid w:val="70640DA5"/>
    <w:rsid w:val="70F47FA6"/>
    <w:rsid w:val="71AE0EB2"/>
    <w:rsid w:val="71EF114A"/>
    <w:rsid w:val="732636C4"/>
    <w:rsid w:val="73C477CD"/>
    <w:rsid w:val="76647753"/>
    <w:rsid w:val="766E3CC1"/>
    <w:rsid w:val="772C66CD"/>
    <w:rsid w:val="791533CB"/>
    <w:rsid w:val="79C243E1"/>
    <w:rsid w:val="79E01293"/>
    <w:rsid w:val="7AB53BB0"/>
    <w:rsid w:val="7C4760F1"/>
    <w:rsid w:val="7C912504"/>
    <w:rsid w:val="7CFB35B9"/>
    <w:rsid w:val="7F740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autoRedefine/>
    <w:semiHidden/>
    <w:unhideWhenUsed/>
    <w:qFormat/>
    <w:uiPriority w:val="99"/>
    <w:rPr>
      <w:rFonts w:ascii="宋体"/>
      <w:sz w:val="18"/>
      <w:szCs w:val="18"/>
    </w:rPr>
  </w:style>
  <w:style w:type="paragraph" w:styleId="5">
    <w:name w:val="annotation text"/>
    <w:basedOn w:val="1"/>
    <w:link w:val="25"/>
    <w:semiHidden/>
    <w:unhideWhenUsed/>
    <w:qFormat/>
    <w:uiPriority w:val="99"/>
    <w:pPr>
      <w:jc w:val="left"/>
    </w:pPr>
  </w:style>
  <w:style w:type="paragraph" w:styleId="6">
    <w:name w:val="Balloon Text"/>
    <w:basedOn w:val="1"/>
    <w:link w:val="24"/>
    <w:autoRedefine/>
    <w:semiHidden/>
    <w:unhideWhenUsed/>
    <w:qFormat/>
    <w:uiPriority w:val="99"/>
    <w:rPr>
      <w:sz w:val="18"/>
      <w:szCs w:val="18"/>
    </w:rPr>
  </w:style>
  <w:style w:type="paragraph" w:styleId="7">
    <w:name w:val="footer"/>
    <w:basedOn w:val="1"/>
    <w:link w:val="20"/>
    <w:autoRedefine/>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footnote text"/>
    <w:basedOn w:val="1"/>
    <w:link w:val="22"/>
    <w:autoRedefine/>
    <w:unhideWhenUsed/>
    <w:qFormat/>
    <w:uiPriority w:val="0"/>
    <w:pPr>
      <w:snapToGrid w:val="0"/>
      <w:jc w:val="left"/>
    </w:pPr>
    <w:rPr>
      <w:sz w:val="18"/>
      <w:szCs w:val="18"/>
    </w:rPr>
  </w:style>
  <w:style w:type="paragraph" w:styleId="10">
    <w:name w:val="Body Text Indent 3"/>
    <w:basedOn w:val="1"/>
    <w:link w:val="21"/>
    <w:autoRedefine/>
    <w:qFormat/>
    <w:uiPriority w:val="0"/>
    <w:pPr>
      <w:ind w:firstLine="560" w:firstLineChars="200"/>
    </w:pPr>
    <w:rPr>
      <w:color w:val="000000"/>
      <w:sz w:val="28"/>
    </w:rPr>
  </w:style>
  <w:style w:type="paragraph" w:styleId="11">
    <w:name w:val="annotation subject"/>
    <w:basedOn w:val="5"/>
    <w:next w:val="5"/>
    <w:link w:val="26"/>
    <w:autoRedefine/>
    <w:semiHidden/>
    <w:unhideWhenUsed/>
    <w:qFormat/>
    <w:uiPriority w:val="99"/>
    <w:rPr>
      <w:b/>
      <w:bCs/>
    </w:rPr>
  </w:style>
  <w:style w:type="table" w:styleId="13">
    <w:name w:val="Table Grid"/>
    <w:basedOn w:val="12"/>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character" w:styleId="17">
    <w:name w:val="annotation reference"/>
    <w:basedOn w:val="14"/>
    <w:autoRedefine/>
    <w:semiHidden/>
    <w:unhideWhenUsed/>
    <w:qFormat/>
    <w:uiPriority w:val="99"/>
    <w:rPr>
      <w:sz w:val="21"/>
      <w:szCs w:val="21"/>
    </w:rPr>
  </w:style>
  <w:style w:type="character" w:styleId="18">
    <w:name w:val="footnote reference"/>
    <w:basedOn w:val="14"/>
    <w:autoRedefine/>
    <w:semiHidden/>
    <w:unhideWhenUsed/>
    <w:qFormat/>
    <w:uiPriority w:val="99"/>
    <w:rPr>
      <w:vertAlign w:val="superscript"/>
    </w:rPr>
  </w:style>
  <w:style w:type="character" w:customStyle="1" w:styleId="19">
    <w:name w:val="页眉 Char"/>
    <w:basedOn w:val="14"/>
    <w:link w:val="8"/>
    <w:autoRedefine/>
    <w:semiHidden/>
    <w:qFormat/>
    <w:uiPriority w:val="99"/>
    <w:rPr>
      <w:sz w:val="18"/>
      <w:szCs w:val="18"/>
    </w:rPr>
  </w:style>
  <w:style w:type="character" w:customStyle="1" w:styleId="20">
    <w:name w:val="页脚 Char"/>
    <w:basedOn w:val="14"/>
    <w:link w:val="7"/>
    <w:autoRedefine/>
    <w:semiHidden/>
    <w:qFormat/>
    <w:uiPriority w:val="99"/>
    <w:rPr>
      <w:sz w:val="18"/>
      <w:szCs w:val="18"/>
    </w:rPr>
  </w:style>
  <w:style w:type="character" w:customStyle="1" w:styleId="21">
    <w:name w:val="正文文本缩进 3 Char"/>
    <w:basedOn w:val="14"/>
    <w:link w:val="10"/>
    <w:autoRedefine/>
    <w:qFormat/>
    <w:uiPriority w:val="0"/>
    <w:rPr>
      <w:rFonts w:ascii="Times New Roman" w:hAnsi="Times New Roman" w:eastAsia="宋体" w:cs="Times New Roman"/>
      <w:color w:val="000000"/>
      <w:sz w:val="28"/>
      <w:szCs w:val="24"/>
    </w:rPr>
  </w:style>
  <w:style w:type="character" w:customStyle="1" w:styleId="22">
    <w:name w:val="脚注文本 Char"/>
    <w:basedOn w:val="14"/>
    <w:link w:val="9"/>
    <w:autoRedefine/>
    <w:qFormat/>
    <w:uiPriority w:val="0"/>
    <w:rPr>
      <w:rFonts w:ascii="Times New Roman" w:hAnsi="Times New Roman" w:eastAsia="宋体" w:cs="Times New Roman"/>
      <w:sz w:val="18"/>
      <w:szCs w:val="18"/>
    </w:rPr>
  </w:style>
  <w:style w:type="paragraph" w:styleId="23">
    <w:name w:val="List Paragraph"/>
    <w:basedOn w:val="1"/>
    <w:autoRedefine/>
    <w:qFormat/>
    <w:uiPriority w:val="34"/>
    <w:pPr>
      <w:ind w:firstLine="420" w:firstLineChars="200"/>
    </w:pPr>
  </w:style>
  <w:style w:type="character" w:customStyle="1" w:styleId="24">
    <w:name w:val="批注框文本 Char"/>
    <w:basedOn w:val="14"/>
    <w:link w:val="6"/>
    <w:autoRedefine/>
    <w:semiHidden/>
    <w:qFormat/>
    <w:uiPriority w:val="99"/>
    <w:rPr>
      <w:rFonts w:ascii="Times New Roman" w:hAnsi="Times New Roman" w:eastAsia="宋体" w:cs="Times New Roman"/>
      <w:sz w:val="18"/>
      <w:szCs w:val="18"/>
    </w:rPr>
  </w:style>
  <w:style w:type="character" w:customStyle="1" w:styleId="25">
    <w:name w:val="批注文字 Char"/>
    <w:basedOn w:val="14"/>
    <w:link w:val="5"/>
    <w:autoRedefine/>
    <w:semiHidden/>
    <w:qFormat/>
    <w:uiPriority w:val="99"/>
    <w:rPr>
      <w:rFonts w:ascii="Times New Roman" w:hAnsi="Times New Roman" w:eastAsia="宋体" w:cs="Times New Roman"/>
      <w:sz w:val="24"/>
      <w:szCs w:val="24"/>
    </w:rPr>
  </w:style>
  <w:style w:type="character" w:customStyle="1" w:styleId="26">
    <w:name w:val="批注主题 Char"/>
    <w:basedOn w:val="25"/>
    <w:link w:val="11"/>
    <w:autoRedefine/>
    <w:semiHidden/>
    <w:qFormat/>
    <w:uiPriority w:val="99"/>
    <w:rPr>
      <w:rFonts w:ascii="Times New Roman" w:hAnsi="Times New Roman" w:eastAsia="宋体" w:cs="Times New Roman"/>
      <w:b/>
      <w:bCs/>
      <w:sz w:val="24"/>
      <w:szCs w:val="24"/>
    </w:rPr>
  </w:style>
  <w:style w:type="paragraph" w:customStyle="1" w:styleId="27">
    <w:name w:val="修订1"/>
    <w:autoRedefine/>
    <w:hidden/>
    <w:semiHidden/>
    <w:qFormat/>
    <w:uiPriority w:val="99"/>
    <w:rPr>
      <w:rFonts w:ascii="Times New Roman" w:hAnsi="Times New Roman" w:eastAsia="宋体" w:cs="Times New Roman"/>
      <w:kern w:val="2"/>
      <w:sz w:val="24"/>
      <w:szCs w:val="24"/>
      <w:lang w:val="en-US" w:eastAsia="zh-CN" w:bidi="ar-SA"/>
    </w:rPr>
  </w:style>
  <w:style w:type="paragraph" w:customStyle="1" w:styleId="28">
    <w:name w:val="Char Char Char Char Char Char Char"/>
    <w:basedOn w:val="1"/>
    <w:autoRedefine/>
    <w:semiHidden/>
    <w:qFormat/>
    <w:uiPriority w:val="0"/>
    <w:rPr>
      <w:sz w:val="21"/>
    </w:rPr>
  </w:style>
  <w:style w:type="paragraph" w:customStyle="1" w:styleId="29">
    <w:name w:val="大标题"/>
    <w:basedOn w:val="1"/>
    <w:autoRedefine/>
    <w:qFormat/>
    <w:uiPriority w:val="0"/>
    <w:pPr>
      <w:spacing w:line="560" w:lineRule="exact"/>
      <w:jc w:val="center"/>
    </w:pPr>
    <w:rPr>
      <w:rFonts w:ascii="黑体" w:eastAsia="黑体" w:cs="宋体"/>
      <w:sz w:val="36"/>
      <w:szCs w:val="20"/>
    </w:rPr>
  </w:style>
  <w:style w:type="paragraph" w:customStyle="1" w:styleId="30">
    <w:name w:val="样式 仿宋_GB2312 三号"/>
    <w:basedOn w:val="1"/>
    <w:autoRedefine/>
    <w:qFormat/>
    <w:uiPriority w:val="0"/>
    <w:pPr>
      <w:ind w:firstLine="200" w:firstLineChars="200"/>
    </w:pPr>
    <w:rPr>
      <w:rFonts w:ascii="仿宋_GB2312" w:eastAsia="仿宋_GB2312"/>
      <w:sz w:val="32"/>
      <w:szCs w:val="32"/>
    </w:rPr>
  </w:style>
  <w:style w:type="character" w:customStyle="1" w:styleId="31">
    <w:name w:val="文档结构图 Char"/>
    <w:basedOn w:val="14"/>
    <w:link w:val="4"/>
    <w:autoRedefine/>
    <w:semiHidden/>
    <w:qFormat/>
    <w:uiPriority w:val="99"/>
    <w:rPr>
      <w:rFonts w:ascii="宋体" w:hAnsi="Times New Roman"/>
      <w:kern w:val="2"/>
      <w:sz w:val="18"/>
      <w:szCs w:val="18"/>
    </w:rPr>
  </w:style>
  <w:style w:type="paragraph" w:customStyle="1" w:styleId="32">
    <w:name w:val="样式 样式 仿宋_GB2312 + Times New Roman 首行缩进:  2 字符"/>
    <w:basedOn w:val="33"/>
    <w:autoRedefine/>
    <w:qFormat/>
    <w:uiPriority w:val="0"/>
    <w:pPr>
      <w:ind w:firstLine="640"/>
    </w:pPr>
    <w:rPr>
      <w:rFonts w:ascii="Times New Roman" w:cs="宋体"/>
      <w:szCs w:val="20"/>
    </w:rPr>
  </w:style>
  <w:style w:type="paragraph" w:customStyle="1" w:styleId="33">
    <w:name w:val="样式 仿宋_GB2312"/>
    <w:basedOn w:val="1"/>
    <w:autoRedefine/>
    <w:qFormat/>
    <w:uiPriority w:val="0"/>
    <w:pPr>
      <w:ind w:firstLine="200" w:firstLineChars="200"/>
    </w:pPr>
    <w:rPr>
      <w:rFonts w:ascii="仿宋_GB2312" w:eastAsia="仿宋_GB2312"/>
      <w:sz w:val="32"/>
    </w:rPr>
  </w:style>
  <w:style w:type="character" w:customStyle="1" w:styleId="34">
    <w:name w:val="04.公文2级标题 字符"/>
    <w:basedOn w:val="35"/>
    <w:link w:val="36"/>
    <w:autoRedefine/>
    <w:qFormat/>
    <w:uiPriority w:val="0"/>
    <w:rPr>
      <w:rFonts w:ascii="楷体_GB2312" w:eastAsia="方正楷体_GBK" w:hAnsiTheme="majorHAnsi" w:cstheme="majorBidi"/>
      <w:kern w:val="2"/>
      <w:sz w:val="32"/>
      <w:szCs w:val="32"/>
      <w:lang w:val="en-US" w:eastAsia="zh-CN" w:bidi="ar-SA"/>
    </w:rPr>
  </w:style>
  <w:style w:type="character" w:customStyle="1" w:styleId="35">
    <w:name w:val="标题 2 字符"/>
    <w:basedOn w:val="14"/>
    <w:link w:val="3"/>
    <w:autoRedefine/>
    <w:semiHidden/>
    <w:qFormat/>
    <w:uiPriority w:val="9"/>
    <w:rPr>
      <w:rFonts w:asciiTheme="majorHAnsi" w:hAnsiTheme="majorHAnsi" w:eastAsiaTheme="majorEastAsia" w:cstheme="majorBidi"/>
      <w:b/>
      <w:bCs/>
      <w:sz w:val="32"/>
      <w:szCs w:val="32"/>
    </w:rPr>
  </w:style>
  <w:style w:type="paragraph" w:customStyle="1" w:styleId="36">
    <w:name w:val="04.公文2级标题"/>
    <w:next w:val="37"/>
    <w:link w:val="34"/>
    <w:qFormat/>
    <w:uiPriority w:val="0"/>
    <w:pPr>
      <w:spacing w:line="560" w:lineRule="exact"/>
      <w:ind w:firstLine="640" w:firstLineChars="200"/>
      <w:outlineLvl w:val="2"/>
    </w:pPr>
    <w:rPr>
      <w:rFonts w:ascii="楷体_GB2312" w:eastAsia="方正楷体_GBK" w:hAnsiTheme="majorHAnsi" w:cstheme="majorBidi"/>
      <w:bCs/>
      <w:kern w:val="2"/>
      <w:sz w:val="32"/>
      <w:szCs w:val="32"/>
      <w:lang w:val="en-US" w:eastAsia="zh-CN" w:bidi="ar-SA"/>
    </w:rPr>
  </w:style>
  <w:style w:type="paragraph" w:customStyle="1" w:styleId="37">
    <w:name w:val="07.公文正文"/>
    <w:autoRedefine/>
    <w:qFormat/>
    <w:uiPriority w:val="0"/>
    <w:pPr>
      <w:spacing w:line="560" w:lineRule="exact"/>
      <w:ind w:firstLine="640" w:firstLineChars="200"/>
      <w:jc w:val="both"/>
    </w:pPr>
    <w:rPr>
      <w:rFonts w:ascii="仿宋_GB2312" w:eastAsia="方正仿宋_GBK" w:hAnsiTheme="majorHAnsi" w:cstheme="majorBidi"/>
      <w:bCs/>
      <w:kern w:val="2"/>
      <w:sz w:val="32"/>
      <w:szCs w:val="28"/>
      <w:lang w:val="en-US" w:eastAsia="zh-CN" w:bidi="ar-SA"/>
    </w:rPr>
  </w:style>
  <w:style w:type="character" w:customStyle="1" w:styleId="38">
    <w:name w:val="font31"/>
    <w:basedOn w:val="14"/>
    <w:autoRedefine/>
    <w:qFormat/>
    <w:uiPriority w:val="0"/>
    <w:rPr>
      <w:rFonts w:hint="eastAsia" w:ascii="宋体" w:hAnsi="宋体" w:eastAsia="宋体" w:cs="宋体"/>
      <w:color w:val="000000"/>
      <w:sz w:val="21"/>
      <w:szCs w:val="21"/>
      <w:u w:val="none"/>
    </w:rPr>
  </w:style>
  <w:style w:type="character" w:customStyle="1" w:styleId="39">
    <w:name w:val="font11"/>
    <w:basedOn w:val="1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79F5-8046-4C49-8203-64FF6386B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4456</Words>
  <Characters>5777</Characters>
  <Lines>41</Lines>
  <Paragraphs>11</Paragraphs>
  <TotalTime>2</TotalTime>
  <ScaleCrop>false</ScaleCrop>
  <LinksUpToDate>false</LinksUpToDate>
  <CharactersWithSpaces>5864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2020-06-05T07:06:00Z</dcterms:created>
  <dc:creator>微软正版用户</dc:creator>
  <cp:lastModifiedBy>shn</cp:lastModifiedBy>
  <cp:lastPrinted>2022-07-08T10:22:00Z</cp:lastPrinted>
  <dcterms:modified xsi:type="dcterms:W3CDTF">2024-04-28T07:24:01Z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4AFD4BE8F96D4F5EAA44A27852B18EDC_13</vt:lpwstr>
  </property>
</Properties>
</file>